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河北三河国家农业科技园区管理委员会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河北三河国家农业科技园区管理委员会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负责辖区的总体规划和经济、社会发展规划，经批准后组织实施；编制辖区区域性城市发展规划、国土利用规划，经批准后组织实施；审批或审核辖区固定资产投资项目；负责辖区基础设施和公用设施的建设和管理；负责辖区财政管理，实施辖区内财政预算、决算、国有资产管理和财政监督工作；负责招商引资、进出口贸易和国内外经济技术合作工作；负责辖区环境保护和安全生产监督管理工作；负责辖区人力资源和社会保障工作；负责辖区教育、文化、人口和计划生育等社会事务管理工作；负责协调辖区内上级有关部门派驻机构的工作；负责三河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6"/>
        <w:gridCol w:w="1131"/>
        <w:gridCol w:w="1273"/>
        <w:gridCol w:w="2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tblHeader/>
          <w:jc w:val="center"/>
        </w:trPr>
        <w:tc>
          <w:tcPr>
            <w:tcW w:w="443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1"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897"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36" w:type="dxa"/>
            <w:vMerge w:val="continue"/>
            <w:vAlign w:val="center"/>
          </w:tcPr>
          <w:p/>
        </w:tc>
        <w:tc>
          <w:tcPr>
            <w:tcW w:w="1131" w:type="dxa"/>
            <w:vMerge w:val="continue"/>
            <w:vAlign w:val="center"/>
          </w:tcPr>
          <w:p/>
        </w:tc>
        <w:tc>
          <w:tcPr>
            <w:tcW w:w="1273" w:type="dxa"/>
            <w:vMerge w:val="continue"/>
            <w:vAlign w:val="center"/>
          </w:tcPr>
          <w:p/>
        </w:tc>
        <w:tc>
          <w:tcPr>
            <w:tcW w:w="2897"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4436" w:type="dxa"/>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河北三河国家农业科技园区管理委员会</w:t>
            </w:r>
          </w:p>
        </w:tc>
        <w:tc>
          <w:tcPr>
            <w:tcW w:w="1131"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3"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897" w:type="dxa"/>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ascii="仿宋_GB2312" w:eastAsia="仿宋_GB2312" w:cs="Times New Roman"/>
          <w:sz w:val="32"/>
          <w:szCs w:val="32"/>
        </w:rPr>
      </w:pPr>
      <w:r>
        <w:rPr>
          <w:rFonts w:ascii="仿宋_GB2312" w:eastAsia="仿宋_GB2312" w:cs="Times New Roman"/>
          <w:sz w:val="32"/>
          <w:szCs w:val="32"/>
        </w:rPr>
        <w:t>按照预算管理有关规定，目前我市部门预算的编制实行综合预算制度，即全部收入和支出都反映在预算中。</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b/>
          <w:sz w:val="32"/>
          <w:szCs w:val="32"/>
        </w:rPr>
      </w:pPr>
      <w:r>
        <w:rPr>
          <w:rFonts w:ascii="仿宋_GB2312" w:eastAsia="仿宋_GB2312" w:cs="Times New Roman"/>
          <w:sz w:val="32"/>
          <w:szCs w:val="32"/>
        </w:rPr>
        <w:t>反映本部门当年全部收入。20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年预算收入</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万元，其中：一般公共预算收入</w:t>
      </w:r>
      <w:r>
        <w:rPr>
          <w:rFonts w:hint="eastAsia" w:ascii="仿宋_GB2312" w:eastAsia="仿宋_GB2312" w:cs="Times New Roman"/>
          <w:sz w:val="32"/>
          <w:szCs w:val="32"/>
          <w:lang w:val="en-US" w:eastAsia="zh-CN"/>
        </w:rPr>
        <w:t>2551.49</w:t>
      </w:r>
      <w:r>
        <w:rPr>
          <w:rFonts w:ascii="仿宋_GB2312" w:eastAsia="仿宋_GB2312" w:cs="Times New Roman"/>
          <w:sz w:val="32"/>
          <w:szCs w:val="32"/>
        </w:rPr>
        <w:t>万元，基金预算收入</w:t>
      </w:r>
      <w:r>
        <w:rPr>
          <w:rFonts w:hint="eastAsia" w:ascii="仿宋_GB2312" w:eastAsia="仿宋_GB2312" w:cs="Times New Roman"/>
          <w:sz w:val="32"/>
          <w:szCs w:val="32"/>
          <w:lang w:val="en-US" w:eastAsia="zh-CN"/>
        </w:rPr>
        <w:t>80</w:t>
      </w:r>
      <w:r>
        <w:rPr>
          <w:rFonts w:ascii="仿宋_GB2312" w:eastAsia="仿宋_GB2312" w:cs="Times New Roman"/>
          <w:sz w:val="32"/>
          <w:szCs w:val="32"/>
        </w:rPr>
        <w:t>万元，财政专户核拨收入</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万元，其他来源收入</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w:t>
      </w:r>
      <w:r>
        <w:rPr>
          <w:rFonts w:hint="eastAsia" w:ascii="仿宋_GB2312" w:eastAsia="仿宋_GB2312" w:cs="Times New Roman"/>
          <w:sz w:val="32"/>
          <w:szCs w:val="32"/>
        </w:rPr>
        <w:t>，</w:t>
      </w:r>
      <w:r>
        <w:rPr>
          <w:rFonts w:ascii="仿宋_GB2312" w:eastAsia="仿宋_GB2312" w:cs="Times New Roman"/>
          <w:sz w:val="32"/>
          <w:szCs w:val="32"/>
        </w:rPr>
        <w:t>上年结转</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万元</w:t>
      </w:r>
      <w:r>
        <w:rPr>
          <w:rFonts w:ascii="仿宋_GB2312"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widowControl w:val="0"/>
        <w:wordWrap/>
        <w:adjustRightInd/>
        <w:snapToGrid/>
        <w:spacing w:line="600" w:lineRule="exact"/>
        <w:ind w:firstLine="640" w:firstLineChars="200"/>
        <w:textAlignment w:val="auto"/>
        <w:rPr>
          <w:rFonts w:ascii="仿宋_GB2312" w:eastAsia="仿宋_GB2312" w:cs="Times New Roman"/>
          <w:sz w:val="32"/>
          <w:szCs w:val="32"/>
          <w:highlight w:val="none"/>
        </w:rPr>
      </w:pPr>
      <w:r>
        <w:rPr>
          <w:rFonts w:ascii="仿宋_GB2312" w:eastAsia="仿宋_GB2312" w:cs="Times New Roman"/>
          <w:sz w:val="32"/>
          <w:szCs w:val="32"/>
        </w:rPr>
        <w:t>收支预算总表支出栏、基本支出表、项目支出表按经济分类和支出功能分类科目编制，反映</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年度部门预算中支出预算的总体情况。20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年支出预算</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万元，其中基本支出</w:t>
      </w:r>
      <w:r>
        <w:rPr>
          <w:rFonts w:hint="eastAsia" w:ascii="仿宋_GB2312" w:eastAsia="仿宋_GB2312" w:cs="Times New Roman"/>
          <w:sz w:val="32"/>
          <w:szCs w:val="32"/>
          <w:lang w:val="en-US" w:eastAsia="zh-CN"/>
        </w:rPr>
        <w:t>690.12</w:t>
      </w:r>
      <w:r>
        <w:rPr>
          <w:rFonts w:ascii="仿宋_GB2312" w:eastAsia="仿宋_GB2312" w:cs="Times New Roman"/>
          <w:sz w:val="32"/>
          <w:szCs w:val="32"/>
        </w:rPr>
        <w:t>万元，包括人员类项目经费</w:t>
      </w:r>
      <w:r>
        <w:rPr>
          <w:rFonts w:hint="eastAsia" w:ascii="仿宋_GB2312" w:eastAsia="仿宋_GB2312" w:cs="Times New Roman"/>
          <w:sz w:val="32"/>
          <w:szCs w:val="32"/>
          <w:lang w:val="en-US" w:eastAsia="zh-CN"/>
        </w:rPr>
        <w:t>583.81</w:t>
      </w:r>
      <w:r>
        <w:rPr>
          <w:rFonts w:ascii="仿宋_GB2312" w:eastAsia="仿宋_GB2312" w:cs="Times New Roman"/>
          <w:sz w:val="32"/>
          <w:szCs w:val="32"/>
        </w:rPr>
        <w:t>万元和</w:t>
      </w:r>
      <w:r>
        <w:rPr>
          <w:rFonts w:hint="eastAsia" w:ascii="仿宋_GB2312" w:eastAsia="仿宋_GB2312" w:cs="Times New Roman"/>
          <w:sz w:val="32"/>
          <w:szCs w:val="32"/>
        </w:rPr>
        <w:t>运转类</w:t>
      </w:r>
      <w:r>
        <w:rPr>
          <w:rFonts w:ascii="仿宋_GB2312" w:eastAsia="仿宋_GB2312" w:cs="Times New Roman"/>
          <w:sz w:val="32"/>
          <w:szCs w:val="32"/>
        </w:rPr>
        <w:t>公用项目经费</w:t>
      </w:r>
      <w:r>
        <w:rPr>
          <w:rFonts w:hint="eastAsia" w:ascii="仿宋_GB2312" w:eastAsia="仿宋_GB2312" w:cs="Times New Roman"/>
          <w:sz w:val="32"/>
          <w:szCs w:val="32"/>
          <w:lang w:val="en-US" w:eastAsia="zh-CN"/>
        </w:rPr>
        <w:t>106.31</w:t>
      </w:r>
      <w:r>
        <w:rPr>
          <w:rFonts w:ascii="仿宋_GB2312" w:eastAsia="仿宋_GB2312" w:cs="Times New Roman"/>
          <w:sz w:val="32"/>
          <w:szCs w:val="32"/>
        </w:rPr>
        <w:t>万元；运转类其他及特定目标类项目支出</w:t>
      </w:r>
      <w:r>
        <w:rPr>
          <w:rFonts w:hint="eastAsia" w:ascii="仿宋_GB2312" w:eastAsia="仿宋_GB2312" w:cs="Times New Roman"/>
          <w:sz w:val="32"/>
          <w:szCs w:val="32"/>
          <w:highlight w:val="none"/>
          <w:lang w:val="en-US" w:eastAsia="zh-CN"/>
        </w:rPr>
        <w:t>1941.37</w:t>
      </w:r>
      <w:r>
        <w:rPr>
          <w:rFonts w:ascii="仿宋_GB2312" w:eastAsia="仿宋_GB2312" w:cs="Times New Roman"/>
          <w:sz w:val="32"/>
          <w:szCs w:val="32"/>
          <w:highlight w:val="none"/>
        </w:rPr>
        <w:t>万元，</w:t>
      </w:r>
      <w:r>
        <w:rPr>
          <w:rFonts w:hint="eastAsia" w:ascii="仿宋_GB2312" w:eastAsia="仿宋_GB2312" w:cs="Times New Roman"/>
          <w:sz w:val="32"/>
          <w:szCs w:val="32"/>
          <w:highlight w:val="none"/>
          <w:lang w:val="en-US" w:eastAsia="zh-CN"/>
        </w:rPr>
        <w:t>为</w:t>
      </w:r>
      <w:r>
        <w:rPr>
          <w:rFonts w:ascii="仿宋_GB2312" w:eastAsia="仿宋_GB2312" w:cs="Times New Roman"/>
          <w:sz w:val="32"/>
          <w:szCs w:val="32"/>
          <w:highlight w:val="none"/>
        </w:rPr>
        <w:t>本级支出，主要为</w:t>
      </w:r>
      <w:r>
        <w:rPr>
          <w:rFonts w:hint="eastAsia" w:ascii="仿宋_GB2312" w:eastAsia="仿宋_GB2312" w:cs="Times New Roman"/>
          <w:sz w:val="32"/>
          <w:szCs w:val="32"/>
          <w:highlight w:val="none"/>
          <w:lang w:val="en-US" w:eastAsia="zh-CN"/>
        </w:rPr>
        <w:t>土地租金</w:t>
      </w:r>
      <w:r>
        <w:rPr>
          <w:rFonts w:ascii="仿宋_GB2312" w:eastAsia="仿宋_GB2312" w:cs="Times New Roman"/>
          <w:sz w:val="32"/>
          <w:szCs w:val="32"/>
          <w:highlight w:val="none"/>
        </w:rPr>
        <w:t>、</w:t>
      </w:r>
      <w:r>
        <w:rPr>
          <w:rFonts w:hint="eastAsia" w:ascii="仿宋_GB2312" w:eastAsia="仿宋_GB2312" w:cs="Times New Roman"/>
          <w:sz w:val="32"/>
          <w:szCs w:val="32"/>
          <w:highlight w:val="none"/>
          <w:lang w:val="en-US" w:eastAsia="zh-CN"/>
        </w:rPr>
        <w:t>棚室补贴</w:t>
      </w:r>
      <w:r>
        <w:rPr>
          <w:rFonts w:ascii="仿宋_GB2312" w:eastAsia="仿宋_GB2312" w:cs="Times New Roman"/>
          <w:sz w:val="32"/>
          <w:szCs w:val="32"/>
          <w:highlight w:val="none"/>
        </w:rPr>
        <w:t>、</w:t>
      </w:r>
      <w:r>
        <w:rPr>
          <w:rFonts w:hint="eastAsia" w:ascii="仿宋_GB2312" w:eastAsia="仿宋_GB2312" w:cs="Times New Roman"/>
          <w:sz w:val="32"/>
          <w:szCs w:val="32"/>
          <w:highlight w:val="none"/>
          <w:lang w:val="en-US" w:eastAsia="zh-CN"/>
        </w:rPr>
        <w:t>农业园区总体规划规划环评项目</w:t>
      </w:r>
      <w:r>
        <w:rPr>
          <w:rFonts w:ascii="仿宋_GB2312" w:eastAsia="仿宋_GB2312" w:cs="Times New Roman"/>
          <w:sz w:val="32"/>
          <w:szCs w:val="32"/>
          <w:highlight w:val="none"/>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年预算收支安排</w:t>
      </w:r>
      <w:r>
        <w:rPr>
          <w:rFonts w:hint="eastAsia" w:ascii="仿宋_GB2312" w:eastAsia="仿宋_GB2312" w:cs="Times New Roman"/>
          <w:sz w:val="32"/>
          <w:szCs w:val="32"/>
          <w:lang w:val="en-US" w:eastAsia="zh-CN"/>
        </w:rPr>
        <w:t>2631.49</w:t>
      </w:r>
      <w:r>
        <w:rPr>
          <w:rFonts w:ascii="仿宋_GB2312" w:eastAsia="仿宋_GB2312" w:cs="Times New Roman"/>
          <w:sz w:val="32"/>
          <w:szCs w:val="32"/>
        </w:rPr>
        <w:t>万元，较20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2</w:t>
      </w:r>
      <w:r>
        <w:rPr>
          <w:rFonts w:ascii="仿宋_GB2312" w:eastAsia="仿宋_GB2312" w:cs="Times New Roman"/>
          <w:sz w:val="32"/>
          <w:szCs w:val="32"/>
        </w:rPr>
        <w:t>年预算减少</w:t>
      </w:r>
      <w:r>
        <w:rPr>
          <w:rFonts w:hint="eastAsia" w:ascii="仿宋_GB2312" w:eastAsia="仿宋_GB2312" w:cs="Times New Roman"/>
          <w:sz w:val="32"/>
          <w:szCs w:val="32"/>
          <w:lang w:val="en-US" w:eastAsia="zh-CN"/>
        </w:rPr>
        <w:t>371.18</w:t>
      </w:r>
      <w:r>
        <w:rPr>
          <w:rFonts w:ascii="仿宋_GB2312" w:eastAsia="仿宋_GB2312" w:cs="Times New Roman"/>
          <w:sz w:val="32"/>
          <w:szCs w:val="32"/>
        </w:rPr>
        <w:t>万元，其中：基本支出</w:t>
      </w:r>
      <w:r>
        <w:rPr>
          <w:rFonts w:hint="eastAsia" w:ascii="仿宋_GB2312" w:eastAsia="仿宋_GB2312" w:cs="Times New Roman"/>
          <w:sz w:val="32"/>
          <w:szCs w:val="32"/>
          <w:lang w:val="en-US" w:eastAsia="zh-CN"/>
        </w:rPr>
        <w:t>增加116.06</w:t>
      </w:r>
      <w:r>
        <w:rPr>
          <w:rFonts w:ascii="仿宋_GB2312" w:eastAsia="仿宋_GB2312" w:cs="Times New Roman"/>
          <w:sz w:val="32"/>
          <w:szCs w:val="32"/>
        </w:rPr>
        <w:t>万元，主要为</w:t>
      </w:r>
      <w:r>
        <w:rPr>
          <w:rFonts w:hint="eastAsia" w:ascii="仿宋_GB2312" w:eastAsia="仿宋_GB2312" w:cs="Times New Roman"/>
          <w:sz w:val="32"/>
          <w:szCs w:val="32"/>
          <w:lang w:val="en-US" w:eastAsia="zh-CN"/>
        </w:rPr>
        <w:t>人员类</w:t>
      </w:r>
      <w:r>
        <w:rPr>
          <w:rFonts w:ascii="仿宋_GB2312" w:eastAsia="仿宋_GB2312" w:cs="Times New Roman"/>
          <w:sz w:val="32"/>
          <w:szCs w:val="32"/>
        </w:rPr>
        <w:t>支出</w:t>
      </w:r>
      <w:r>
        <w:rPr>
          <w:rFonts w:hint="eastAsia" w:ascii="仿宋_GB2312" w:eastAsia="仿宋_GB2312" w:cs="Times New Roman"/>
          <w:sz w:val="32"/>
          <w:szCs w:val="32"/>
          <w:lang w:val="en-US" w:eastAsia="zh-CN"/>
        </w:rPr>
        <w:t>增加，新增公务员6名</w:t>
      </w:r>
      <w:r>
        <w:rPr>
          <w:rFonts w:ascii="仿宋_GB2312" w:eastAsia="仿宋_GB2312" w:cs="Times New Roman"/>
          <w:sz w:val="32"/>
          <w:szCs w:val="32"/>
        </w:rPr>
        <w:t>；项目支出减少</w:t>
      </w:r>
      <w:r>
        <w:rPr>
          <w:rFonts w:hint="eastAsia" w:ascii="仿宋_GB2312" w:eastAsia="仿宋_GB2312" w:cs="Times New Roman"/>
          <w:sz w:val="32"/>
          <w:szCs w:val="32"/>
          <w:lang w:val="en-US" w:eastAsia="zh-CN"/>
        </w:rPr>
        <w:t>487.24</w:t>
      </w:r>
      <w:r>
        <w:rPr>
          <w:rFonts w:ascii="仿宋_GB2312" w:eastAsia="仿宋_GB2312" w:cs="Times New Roman"/>
          <w:sz w:val="32"/>
          <w:szCs w:val="32"/>
        </w:rPr>
        <w:t>万元，主要为特定目标类</w:t>
      </w:r>
      <w:r>
        <w:rPr>
          <w:rFonts w:hint="eastAsia" w:ascii="仿宋_GB2312" w:eastAsia="仿宋_GB2312" w:cs="Times New Roman"/>
          <w:sz w:val="32"/>
          <w:szCs w:val="32"/>
          <w:lang w:val="en-US" w:eastAsia="zh-CN"/>
        </w:rPr>
        <w:t>工程款</w:t>
      </w:r>
      <w:r>
        <w:rPr>
          <w:rFonts w:ascii="仿宋_GB2312" w:eastAsia="仿宋_GB2312" w:cs="Times New Roman"/>
          <w:sz w:val="32"/>
          <w:szCs w:val="32"/>
        </w:rPr>
        <w:t>支出</w:t>
      </w:r>
      <w:r>
        <w:rPr>
          <w:rFonts w:hint="eastAsia" w:ascii="仿宋_GB2312" w:eastAsia="仿宋_GB2312" w:cs="Times New Roman"/>
          <w:sz w:val="32"/>
          <w:szCs w:val="32"/>
          <w:lang w:val="en-US" w:eastAsia="zh-CN"/>
        </w:rPr>
        <w:t>减少</w:t>
      </w:r>
      <w:r>
        <w:rPr>
          <w:rFonts w:ascii="仿宋_GB2312"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年，我</w:t>
      </w:r>
      <w:r>
        <w:rPr>
          <w:rFonts w:hint="eastAsia" w:ascii="仿宋_GB2312" w:eastAsia="仿宋_GB2312" w:cs="Times New Roman"/>
          <w:sz w:val="32"/>
          <w:szCs w:val="32"/>
          <w:lang w:val="en-US" w:eastAsia="zh-CN"/>
        </w:rPr>
        <w:t>部门</w:t>
      </w:r>
      <w:r>
        <w:rPr>
          <w:rFonts w:ascii="仿宋_GB2312" w:eastAsia="仿宋_GB2312" w:cs="Times New Roman"/>
          <w:sz w:val="32"/>
          <w:szCs w:val="32"/>
        </w:rPr>
        <w:t>运行经费共计安排</w:t>
      </w:r>
      <w:r>
        <w:rPr>
          <w:rFonts w:hint="eastAsia" w:ascii="仿宋_GB2312" w:eastAsia="仿宋_GB2312" w:cs="Times New Roman"/>
          <w:sz w:val="32"/>
          <w:szCs w:val="32"/>
          <w:lang w:val="en-US" w:eastAsia="zh-CN"/>
        </w:rPr>
        <w:t>106.31</w:t>
      </w:r>
      <w:r>
        <w:rPr>
          <w:rFonts w:ascii="仿宋_GB2312" w:eastAsia="仿宋_GB2312" w:cs="Times New Roman"/>
          <w:sz w:val="32"/>
          <w:szCs w:val="32"/>
        </w:rPr>
        <w:t>万元，主要用于</w:t>
      </w:r>
      <w:r>
        <w:rPr>
          <w:rFonts w:hint="eastAsia" w:ascii="仿宋_GB2312" w:eastAsia="仿宋_GB2312" w:cs="Times New Roman"/>
          <w:sz w:val="32"/>
          <w:szCs w:val="32"/>
          <w:lang w:val="en-US" w:eastAsia="zh-CN"/>
        </w:rPr>
        <w:t>河北三河国家农业科技园区管理委员会</w:t>
      </w:r>
      <w:r>
        <w:rPr>
          <w:rFonts w:ascii="仿宋_GB2312" w:eastAsia="仿宋_GB2312" w:cs="Times New Roman"/>
          <w:sz w:val="32"/>
          <w:szCs w:val="32"/>
        </w:rPr>
        <w:t>办公区的日常</w:t>
      </w:r>
      <w:r>
        <w:rPr>
          <w:rFonts w:hint="eastAsia" w:ascii="仿宋_GB2312" w:eastAsia="仿宋_GB2312" w:cs="Times New Roman"/>
          <w:sz w:val="32"/>
          <w:szCs w:val="32"/>
          <w:lang w:val="en-US" w:eastAsia="zh-CN"/>
        </w:rPr>
        <w:t>办公、</w:t>
      </w:r>
      <w:r>
        <w:rPr>
          <w:rFonts w:ascii="仿宋_GB2312" w:eastAsia="仿宋_GB2312" w:cs="Times New Roman"/>
          <w:sz w:val="32"/>
          <w:szCs w:val="32"/>
        </w:rPr>
        <w:t>维修、水电费、取暖费</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邮电</w:t>
      </w:r>
      <w:r>
        <w:rPr>
          <w:rFonts w:ascii="仿宋_GB2312" w:eastAsia="仿宋_GB2312" w:cs="Times New Roman"/>
          <w:sz w:val="32"/>
          <w:szCs w:val="32"/>
        </w:rPr>
        <w:t>等日常运行支出。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3</w:t>
      </w:r>
      <w:r>
        <w:rPr>
          <w:rFonts w:ascii="仿宋_GB2312" w:eastAsia="仿宋_GB2312" w:cs="Times New Roman"/>
          <w:sz w:val="32"/>
          <w:szCs w:val="32"/>
        </w:rPr>
        <w:t>年，我</w:t>
      </w:r>
      <w:r>
        <w:rPr>
          <w:rFonts w:hint="eastAsia" w:ascii="仿宋_GB2312" w:eastAsia="仿宋_GB2312" w:cs="Times New Roman"/>
          <w:sz w:val="32"/>
          <w:szCs w:val="32"/>
          <w:lang w:val="en-US" w:eastAsia="zh-CN"/>
        </w:rPr>
        <w:t>部门</w:t>
      </w:r>
      <w:r>
        <w:rPr>
          <w:rFonts w:ascii="仿宋_GB2312" w:eastAsia="仿宋_GB2312" w:cs="Times New Roman"/>
          <w:sz w:val="32"/>
          <w:szCs w:val="32"/>
        </w:rPr>
        <w:t>财政拨款“三公”经费预算安排</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w:t>
      </w:r>
      <w:r>
        <w:rPr>
          <w:rFonts w:hint="eastAsia" w:ascii="仿宋_GB2312" w:eastAsia="仿宋_GB2312" w:cs="Times New Roman"/>
          <w:sz w:val="32"/>
          <w:szCs w:val="32"/>
        </w:rPr>
        <w:t>。</w:t>
      </w:r>
      <w:r>
        <w:rPr>
          <w:rFonts w:ascii="仿宋_GB2312" w:eastAsia="仿宋_GB2312" w:cs="Times New Roman"/>
          <w:sz w:val="32"/>
          <w:szCs w:val="32"/>
        </w:rPr>
        <w:t>其中</w:t>
      </w:r>
      <w:r>
        <w:rPr>
          <w:rFonts w:hint="eastAsia" w:ascii="仿宋_GB2312" w:eastAsia="仿宋_GB2312" w:cs="Times New Roman"/>
          <w:sz w:val="32"/>
          <w:szCs w:val="32"/>
        </w:rPr>
        <w:t>，</w:t>
      </w:r>
      <w:r>
        <w:rPr>
          <w:rFonts w:ascii="仿宋_GB2312" w:eastAsia="仿宋_GB2312" w:cs="Times New Roman"/>
          <w:sz w:val="32"/>
          <w:szCs w:val="32"/>
        </w:rPr>
        <w:t>因公出国（境）费</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万元；公务用车购置及运维费</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万元（其中：公务用车购置费为</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万元，公务用车运维费</w:t>
      </w:r>
      <w:r>
        <w:rPr>
          <w:rFonts w:hint="eastAsia" w:ascii="仿宋_GB2312" w:eastAsia="仿宋_GB2312" w:cs="Times New Roman"/>
          <w:sz w:val="32"/>
          <w:szCs w:val="32"/>
          <w:lang w:val="en-US" w:eastAsia="zh-CN"/>
        </w:rPr>
        <w:t>9.84</w:t>
      </w:r>
      <w:r>
        <w:rPr>
          <w:rFonts w:ascii="仿宋_GB2312" w:eastAsia="仿宋_GB2312" w:cs="Times New Roman"/>
          <w:sz w:val="32"/>
          <w:szCs w:val="32"/>
        </w:rPr>
        <w:t>万元)；公务接待费</w:t>
      </w:r>
      <w:r>
        <w:rPr>
          <w:rFonts w:hint="eastAsia" w:ascii="仿宋_GB2312" w:eastAsia="仿宋_GB2312" w:cs="Times New Roman"/>
          <w:sz w:val="32"/>
          <w:szCs w:val="32"/>
          <w:lang w:val="en-US" w:eastAsia="zh-CN"/>
        </w:rPr>
        <w:t>0</w:t>
      </w:r>
      <w:r>
        <w:rPr>
          <w:rFonts w:ascii="仿宋_GB2312" w:eastAsia="仿宋_GB2312" w:cs="Times New Roman"/>
          <w:sz w:val="32"/>
          <w:szCs w:val="32"/>
        </w:rPr>
        <w:t>万元。与20</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2</w:t>
      </w:r>
      <w:r>
        <w:rPr>
          <w:rFonts w:ascii="仿宋_GB2312" w:eastAsia="仿宋_GB2312" w:cs="Times New Roman"/>
          <w:sz w:val="32"/>
          <w:szCs w:val="32"/>
        </w:rPr>
        <w:t>年</w:t>
      </w:r>
      <w:r>
        <w:rPr>
          <w:rFonts w:hint="eastAsia" w:ascii="仿宋_GB2312" w:eastAsia="仿宋_GB2312" w:cs="Times New Roman"/>
          <w:sz w:val="32"/>
          <w:szCs w:val="32"/>
        </w:rPr>
        <w:t>相比</w:t>
      </w:r>
      <w:r>
        <w:rPr>
          <w:rFonts w:ascii="仿宋_GB2312" w:eastAsia="仿宋_GB2312" w:cs="Times New Roman"/>
          <w:sz w:val="32"/>
          <w:szCs w:val="32"/>
        </w:rPr>
        <w:t>持平，</w:t>
      </w:r>
      <w:r>
        <w:rPr>
          <w:rFonts w:hint="eastAsia" w:ascii="仿宋_GB2312"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2023年按照市政府年度工作部署，结合园区实际，下一步要继续在加快知名农业龙头企业引进，促进农村发展、农业增效、农民增收，打造现代农业产业示范基地上下功夫，确保圆满完成年度目标任务，继续推动现代农业产业园、农产品保供基地创建，加快基础设施项目建设，全力抓好招商引资和综合治理。</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农业园区将继续加快基础设施建设，投入水、电、路框架，为入驻企业提供基本保障。全力推进三河市精品高端优特产业园新增变压器配套设施工程、三河市精品高端优特产业园机井线缆配套工程、利都农业生态科技产业园东路工程、利都农业生态科技产业园南路工程、利都农业生态科技产业园道路改建工程，为企业正常生产创造条件。</w:t>
      </w:r>
    </w:p>
    <w:p>
      <w:pPr>
        <w:widowControl w:val="0"/>
        <w:wordWrap/>
        <w:adjustRightInd/>
        <w:snapToGrid/>
        <w:spacing w:line="600" w:lineRule="exact"/>
        <w:ind w:firstLine="640" w:firstLineChars="200"/>
        <w:textAlignment w:val="auto"/>
        <w:rPr>
          <w:rFonts w:ascii="仿宋_GB2312" w:eastAsia="仿宋_GB2312" w:cs="Times New Roman"/>
          <w:sz w:val="32"/>
          <w:szCs w:val="32"/>
        </w:rPr>
      </w:pPr>
      <w:r>
        <w:rPr>
          <w:rFonts w:ascii="仿宋_GB2312" w:eastAsia="仿宋_GB2312" w:cs="Times New Roman"/>
          <w:sz w:val="32"/>
          <w:szCs w:val="32"/>
        </w:rPr>
        <w:t>积极重点对接中粮集团、首农集团、华为智慧农业公司、于家务国际种业科技园区等相关单位，搞好招商引资活动。</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一、</w:t>
      </w:r>
      <w:r>
        <w:rPr>
          <w:rFonts w:hint="eastAsia" w:ascii="仿宋_GB2312" w:hAnsi="仿宋_GB2312" w:eastAsia="仿宋_GB2312" w:cs="仿宋_GB2312"/>
          <w:b/>
          <w:bCs/>
          <w:sz w:val="32"/>
          <w:lang w:eastAsia="zh-CN"/>
        </w:rPr>
        <w:t>规划建设</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建设基础设施，编制规划，保障安全生产。</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highlight w:val="none"/>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highlight w:val="none"/>
          <w:lang w:val="en-US" w:eastAsia="zh-CN"/>
        </w:rPr>
        <w:t>工程质量合格率=100%、项目完工及时率≥90%、安全生产培训次数≥3次、参与企业满意度≥90%。</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二、</w:t>
      </w:r>
      <w:r>
        <w:rPr>
          <w:rFonts w:hint="eastAsia" w:ascii="仿宋_GB2312" w:hAnsi="仿宋_GB2312" w:eastAsia="仿宋_GB2312" w:cs="仿宋_GB2312"/>
          <w:b/>
          <w:bCs/>
          <w:sz w:val="32"/>
          <w:lang w:eastAsia="zh-CN"/>
        </w:rPr>
        <w:t>招商引资</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推动现代农业产业园、农产品保供基地创建。</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宣传品质量合格率=100%、招商工作完成及时率=100%、招商活动次数≥4次。</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三、</w:t>
      </w:r>
      <w:r>
        <w:rPr>
          <w:rFonts w:hint="eastAsia" w:ascii="仿宋_GB2312" w:hAnsi="仿宋_GB2312" w:eastAsia="仿宋_GB2312" w:cs="仿宋_GB2312"/>
          <w:b/>
          <w:bCs/>
          <w:sz w:val="32"/>
          <w:lang w:eastAsia="zh-CN"/>
        </w:rPr>
        <w:t>社会事务管理</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维护基础设施、绿化设施，维护园区稳定，按政策流转土地。</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设施保障使用率≥80%、绿化养护达标率≥80%、园区土地年度租赁费标准=1500元/亩、优化环境显著改善。</w:t>
      </w:r>
    </w:p>
    <w:p>
      <w:pPr>
        <w:widowControl w:val="0"/>
        <w:wordWrap/>
        <w:adjustRightInd/>
        <w:snapToGrid/>
        <w:spacing w:line="360" w:lineRule="auto"/>
        <w:ind w:firstLine="643" w:firstLineChars="200"/>
        <w:textAlignment w:val="auto"/>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val="en-US" w:eastAsia="zh-CN"/>
        </w:rPr>
        <w:t>四、</w:t>
      </w:r>
      <w:r>
        <w:rPr>
          <w:rFonts w:hint="eastAsia" w:ascii="仿宋_GB2312" w:hAnsi="仿宋_GB2312" w:eastAsia="仿宋_GB2312" w:cs="仿宋_GB2312"/>
          <w:b/>
          <w:bCs/>
          <w:sz w:val="32"/>
          <w:lang w:eastAsia="zh-CN"/>
        </w:rPr>
        <w:t>综合管理业务</w:t>
      </w:r>
    </w:p>
    <w:p>
      <w:pPr>
        <w:widowControl w:val="0"/>
        <w:wordWrap/>
        <w:adjustRightInd/>
        <w:snapToGrid/>
        <w:spacing w:line="360" w:lineRule="auto"/>
        <w:ind w:firstLine="643"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b/>
          <w:bCs/>
          <w:sz w:val="32"/>
          <w:lang w:eastAsia="zh-CN"/>
        </w:rPr>
        <w:t>绩效目标：</w:t>
      </w:r>
      <w:r>
        <w:rPr>
          <w:rFonts w:hint="eastAsia" w:ascii="仿宋_GB2312" w:eastAsia="仿宋_GB2312" w:cs="Times New Roman"/>
          <w:sz w:val="32"/>
          <w:szCs w:val="32"/>
          <w:lang w:val="en-US" w:eastAsia="zh-CN"/>
        </w:rPr>
        <w:t>提升园区的办公及营商环境。</w:t>
      </w:r>
    </w:p>
    <w:p>
      <w:pPr>
        <w:widowControl w:val="0"/>
        <w:wordWrap/>
        <w:adjustRightInd/>
        <w:snapToGrid/>
        <w:spacing w:line="360" w:lineRule="auto"/>
        <w:ind w:firstLine="643" w:firstLineChars="200"/>
        <w:textAlignment w:val="auto"/>
        <w:rPr>
          <w:rFonts w:ascii="仿宋_GB2312" w:eastAsia="仿宋_GB2312" w:cs="Times New Roman"/>
          <w:sz w:val="32"/>
          <w:szCs w:val="32"/>
        </w:rPr>
      </w:pPr>
      <w:r>
        <w:rPr>
          <w:rFonts w:hint="eastAsia" w:ascii="仿宋_GB2312" w:hAnsi="仿宋_GB2312" w:eastAsia="仿宋_GB2312" w:cs="仿宋_GB2312"/>
          <w:b/>
          <w:bCs/>
          <w:sz w:val="32"/>
          <w:lang w:eastAsia="zh-CN"/>
        </w:rPr>
        <w:t>绩效指标：</w:t>
      </w:r>
      <w:r>
        <w:rPr>
          <w:rFonts w:hint="eastAsia" w:ascii="仿宋_GB2312" w:eastAsia="仿宋_GB2312" w:cs="Times New Roman"/>
          <w:sz w:val="32"/>
          <w:szCs w:val="32"/>
          <w:lang w:val="en-US" w:eastAsia="zh-CN"/>
        </w:rPr>
        <w:t>办公设施故障排除率≥80%、“保障日常办公需要，维持单位正常运转”显著提高、园区办公人员满意度≥90%。</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bCs/>
          <w:sz w:val="32"/>
          <w:lang w:val="en-US" w:eastAsia="zh-CN"/>
        </w:rPr>
        <w:t>1、加强与企业沟通合作，推进项目建设。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强力推进三大项目落地落实，努力提升农业园区综合实力。一是首都央厨·北供食品冷链物流基地项目。二是万亩保供首都蔬菜产业园一期项目。三是国马产业一期项目。加大招商引资力度，持续为经济高质量发展增添活力。一是抢抓京津冀协同发展重大机遇，从与通州区一体化高质量发展中寻找机会，紧紧抓住承接北京非首都功能疏解这一“牛鼻子”，迈开两条腿，对接各部委。加强与农业农村部、乡村振兴局等部委的沟通联络，主动对接北京供销总社、首农集团等央企京企，通过以商招商等方式招引新项目、好项目，助力全市经济高质量发展。二是以华兴福等为代表培育农业产业化龙头企业，发展“同福模式”，充分发挥龙头带动作用，为全市乡村振兴新时代发展提供借鉴。三是依托华为智慧农业等企业合作构建现代农业产业体系，进一步提升农业的高端化、智能化、绿色化水平，引进华为智慧农业生产管理平台，实现生产全过程管理数字化，达到提高产量、改善品质、提高经济效益的目的。</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Style w:val="20"/>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sz w:val="32"/>
          <w:lang w:val="en-US" w:eastAsia="zh-CN"/>
        </w:rPr>
        <w:t>2、进一步完善内控制度，加强内部监督。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default" w:ascii="仿宋_GB2312" w:hAnsi="仿宋_GB2312" w:eastAsia="仿宋_GB2312" w:cs="仿宋_GB2312"/>
          <w:bCs/>
          <w:sz w:val="32"/>
          <w:szCs w:val="32"/>
          <w:lang w:val="en-US" w:eastAsia="zh-CN"/>
        </w:rPr>
      </w:pPr>
      <w:r>
        <w:rPr>
          <w:rStyle w:val="20"/>
          <w:rFonts w:hint="default" w:ascii="仿宋_GB2312" w:hAnsi="仿宋_GB2312" w:eastAsia="仿宋_GB2312" w:cs="仿宋_GB2312"/>
          <w:bCs/>
          <w:sz w:val="32"/>
          <w:szCs w:val="32"/>
          <w:lang w:val="en-US" w:eastAsia="zh-CN"/>
        </w:rPr>
        <w:t>进一步建立健全单位内部控制制度，建立适合本单位实际情况的内部控制体系并组织，</w:t>
      </w:r>
      <w:r>
        <w:rPr>
          <w:rStyle w:val="20"/>
          <w:rFonts w:hint="eastAsia" w:ascii="仿宋_GB2312" w:hAnsi="仿宋_GB2312" w:eastAsia="仿宋_GB2312" w:cs="仿宋_GB2312"/>
          <w:bCs/>
          <w:sz w:val="32"/>
          <w:szCs w:val="32"/>
          <w:lang w:val="en-US" w:eastAsia="zh-CN"/>
        </w:rPr>
        <w:t>明确绩效管理责任，建立预算安排与绩效目标、资金使用效果挂钩的激励约束机制，</w:t>
      </w:r>
      <w:r>
        <w:rPr>
          <w:rStyle w:val="20"/>
          <w:rFonts w:hint="default" w:ascii="仿宋_GB2312" w:hAnsi="仿宋_GB2312" w:eastAsia="仿宋_GB2312" w:cs="仿宋_GB2312"/>
          <w:bCs/>
          <w:sz w:val="32"/>
          <w:szCs w:val="32"/>
          <w:lang w:val="en-US" w:eastAsia="zh-CN"/>
        </w:rPr>
        <w:t>强化内部监督。</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3、强化绩效应用，增强预算收支管理水平。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以绩效目标为基础，以绩效运行跟踪监控和绩效评价为手段，以结果应用为保障，以改进预算管理、优化资源配置、控制节约成本为目标，建立管理科学、运转高效的全过程预算绩效管理体系。检验资金支出效率和效果，发现存在问题及原因，及时总结经验。分析资金使用过程中存在的问题及其原因，及时总结经验，改进管理措施，有效提高财政资金管理水平和使用效益。同时为以后年度财政资金投入提供参考依据。一是按照市财政局的工作部署，进一步加强与市财政预算编报、审核的衔接，强化内部预算支出管理、跟踪，按月对预算执行情况分析，切实加快预算执行进度。二是认真做好绩效目标的编制。进一步加强预算管理意识，严格按照绩效目标编制的相关制度和要求，绩效目标尽可能的全面、细化，进一步提高绩效目标设立的科学性。三是加强预算编制的前瞻性，严格按照新《预算法》及其实施条例的相关规定，根据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及时消化以前年度结余，将财政存量资金与预算编制、执行等进行挂钩，进一步完善预算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4、健全资产管理制度，加强固定资产管理。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Style w:val="20"/>
          <w:rFonts w:hint="eastAsia" w:ascii="仿宋_GB2312" w:hAnsi="仿宋_GB2312" w:eastAsia="仿宋_GB2312" w:cs="仿宋_GB2312"/>
          <w:bCs/>
          <w:sz w:val="32"/>
          <w:szCs w:val="32"/>
          <w:lang w:val="en-US" w:eastAsia="zh-CN"/>
        </w:rPr>
      </w:pPr>
      <w:r>
        <w:rPr>
          <w:rStyle w:val="20"/>
          <w:rFonts w:hint="eastAsia" w:ascii="仿宋_GB2312" w:hAnsi="仿宋_GB2312" w:eastAsia="仿宋_GB2312" w:cs="仿宋_GB2312"/>
          <w:bCs/>
          <w:sz w:val="32"/>
          <w:szCs w:val="32"/>
          <w:lang w:val="en-US" w:eastAsia="zh-CN"/>
        </w:rPr>
        <w:t>依据《固定资产管理办法》，进一步建立健全本单位的资产管理制度建设，并严格执行，加强固定资产的管理。对新购入或拨入的固定资产和无形资产及时入账并录入国有资产管理系统，明确资产管理责任人，并将资产管理与财务管理严格分开，及时登记、更新台账，加强资产卡片管理，同时对实物资产进行定期盘点工作，做到账实相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lang w:val="en-US" w:eastAsia="zh-CN"/>
        </w:rPr>
      </w:pPr>
      <w:r>
        <w:rPr>
          <w:rFonts w:hint="eastAsia" w:ascii="仿宋_GB2312" w:hAnsi="仿宋_GB2312" w:eastAsia="仿宋_GB2312" w:cs="仿宋_GB2312"/>
          <w:b/>
          <w:bCs/>
          <w:sz w:val="32"/>
          <w:lang w:val="en-US" w:eastAsia="zh-CN"/>
        </w:rPr>
        <w:t>5、规范绩效目标设定，加强绩效运行监控。</w:t>
      </w:r>
    </w:p>
    <w:p>
      <w:pPr>
        <w:keepNext w:val="0"/>
        <w:keepLines w:val="0"/>
        <w:pageBreakBefore w:val="0"/>
        <w:widowControl w:val="0"/>
        <w:kinsoku/>
        <w:wordWrap/>
        <w:overflowPunct/>
        <w:topLinePunct w:val="0"/>
        <w:autoSpaceDE/>
        <w:autoSpaceDN/>
        <w:bidi w:val="0"/>
        <w:adjustRightInd/>
        <w:snapToGrid/>
        <w:spacing w:line="360" w:lineRule="auto"/>
        <w:ind w:firstLine="620" w:firstLineChars="200"/>
        <w:textAlignment w:val="auto"/>
        <w:rPr>
          <w:rFonts w:ascii="仿宋_GB2312" w:eastAsia="仿宋_GB2312" w:cs="Times New Roman"/>
          <w:sz w:val="32"/>
          <w:szCs w:val="32"/>
        </w:rPr>
      </w:pPr>
      <w:r>
        <w:rPr>
          <w:rFonts w:hint="eastAsia" w:ascii="仿宋" w:hAnsi="仿宋" w:eastAsia="仿宋" w:cs="仿宋"/>
          <w:i w:val="0"/>
          <w:caps w:val="0"/>
          <w:color w:val="000000"/>
          <w:spacing w:val="0"/>
          <w:sz w:val="31"/>
          <w:szCs w:val="31"/>
          <w:shd w:val="clear" w:color="auto" w:fill="FFFFFF"/>
        </w:rPr>
        <w:t>一是合理规范编制绩效目标，强化其在预算绩效管理中的龙头地位。在科学决策、合理编制预算基础上</w:t>
      </w:r>
      <w:r>
        <w:rPr>
          <w:rFonts w:hint="eastAsia" w:ascii="仿宋" w:hAnsi="仿宋" w:eastAsia="仿宋" w:cs="仿宋"/>
          <w:i w:val="0"/>
          <w:caps w:val="0"/>
          <w:color w:val="000000"/>
          <w:spacing w:val="0"/>
          <w:sz w:val="31"/>
          <w:szCs w:val="31"/>
          <w:shd w:val="clear" w:color="auto" w:fill="FFFFFF"/>
          <w:lang w:eastAsia="zh-CN"/>
        </w:rPr>
        <w:t>，</w:t>
      </w:r>
      <w:r>
        <w:rPr>
          <w:rFonts w:hint="eastAsia" w:ascii="仿宋" w:hAnsi="仿宋" w:eastAsia="仿宋" w:cs="仿宋"/>
          <w:i w:val="0"/>
          <w:caps w:val="0"/>
          <w:color w:val="000000"/>
          <w:spacing w:val="0"/>
          <w:sz w:val="31"/>
          <w:szCs w:val="31"/>
          <w:shd w:val="clear" w:color="auto" w:fill="FFFFFF"/>
        </w:rPr>
        <w:t>明确专项实施期及年度整体工作任务目标，填报绩效目标，并对绩效目标进行合理细化和量化，便于监测项目实施进度，有利于项目目标的实现。二是规范绩效目标调整，强化绩效目标在预算绩效管理过程中的龙头地位。在预算及目标批复后，如遇特殊情况需要调整专项及项目实施内容的，要及时向财政部门履行申请批复程序，由财政部门逐级向上报备，并根据变更后的内容及时调整目标，以确保目标与实施内容及预算资金的一致性。</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574"/>
        <w:gridCol w:w="2100"/>
        <w:gridCol w:w="1860"/>
        <w:gridCol w:w="1005"/>
        <w:gridCol w:w="1125"/>
        <w:gridCol w:w="136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8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49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574" w:type="dxa"/>
            <w:vMerge w:val="continue"/>
            <w:tcBorders>
              <w:tl2br w:val="nil"/>
              <w:tr2bl w:val="nil"/>
            </w:tcBorders>
            <w:vAlign w:val="center"/>
          </w:tcPr>
          <w:p/>
        </w:tc>
        <w:tc>
          <w:tcPr>
            <w:tcW w:w="2100" w:type="dxa"/>
            <w:vMerge w:val="continue"/>
            <w:tcBorders>
              <w:tl2br w:val="nil"/>
              <w:tr2bl w:val="nil"/>
            </w:tcBorders>
            <w:vAlign w:val="center"/>
          </w:tcPr>
          <w:p/>
        </w:tc>
        <w:tc>
          <w:tcPr>
            <w:tcW w:w="1860" w:type="dxa"/>
            <w:vMerge w:val="continue"/>
            <w:tcBorders>
              <w:tl2br w:val="nil"/>
              <w:tr2bl w:val="nil"/>
            </w:tcBorders>
            <w:vAlign w:val="center"/>
          </w:tcPr>
          <w:p/>
        </w:tc>
        <w:tc>
          <w:tcPr>
            <w:tcW w:w="10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12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6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83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25"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val="en-US" w:eastAsia="zh-CN"/>
              </w:rPr>
              <w:t>数量</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项目完成情况</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10分，达到指标值得满分，每少1次扣相应权重分的20%。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反映全年重点项目完成数量</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15</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3"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工程质量合格率</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20分，达到目标值得</w:t>
            </w:r>
          </w:p>
          <w:p>
            <w:pPr>
              <w:widowControl/>
              <w:adjustRightInd w:val="0"/>
              <w:snapToGrid w:val="0"/>
              <w:rPr>
                <w:rFonts w:ascii="方正书宋_GBK" w:eastAsia="方正书宋_GBK"/>
              </w:rPr>
            </w:pPr>
            <w:r>
              <w:rPr>
                <w:rFonts w:hint="eastAsia" w:ascii="方正书宋_GBK" w:eastAsia="方正书宋_GBK"/>
              </w:rPr>
              <w:t>满分，每降低10%扣相应权重分的10%。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合格的工程数量占工程</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《建筑工程施工质量验收统一标准》</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工作按时完成率</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10分，满足指标值得满分，每超出1万元扣相应权重分的10%。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反映整体工作完成时限</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年</w:t>
            </w:r>
          </w:p>
        </w:tc>
        <w:tc>
          <w:tcPr>
            <w:tcW w:w="283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控制成本</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10分，满足指标值得满分，每超出1万元扣相应权重分的10%。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反映各项工作总成本控制额</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112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2631.49</w:t>
            </w:r>
          </w:p>
          <w:p>
            <w:pPr>
              <w:widowControl/>
              <w:adjustRightInd w:val="0"/>
              <w:snapToGrid w:val="0"/>
              <w:jc w:val="center"/>
              <w:rPr>
                <w:rFonts w:ascii="方正书宋_GBK" w:eastAsia="方正书宋_GBK"/>
              </w:rPr>
            </w:pPr>
          </w:p>
        </w:tc>
        <w:tc>
          <w:tcPr>
            <w:tcW w:w="13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2835" w:type="dxa"/>
            <w:tcBorders>
              <w:tl2br w:val="nil"/>
              <w:tr2bl w:val="nil"/>
            </w:tcBorders>
            <w:vAlign w:val="center"/>
          </w:tcPr>
          <w:p>
            <w:pPr>
              <w:widowControl/>
              <w:adjustRightInd w:val="0"/>
              <w:snapToGrid w:val="0"/>
              <w:jc w:val="left"/>
              <w:rPr>
                <w:rFonts w:hint="eastAsia" w:ascii="方正书宋_GBK" w:eastAsia="方正书宋_GBK"/>
              </w:rPr>
            </w:pPr>
          </w:p>
          <w:p>
            <w:pPr>
              <w:widowControl/>
              <w:adjustRightInd w:val="0"/>
              <w:snapToGrid w:val="0"/>
              <w:jc w:val="left"/>
              <w:rPr>
                <w:rFonts w:hint="eastAsia" w:ascii="方正书宋_GBK" w:eastAsia="方正书宋_GBK"/>
              </w:rPr>
            </w:pPr>
            <w:r>
              <w:rPr>
                <w:rFonts w:hint="eastAsia" w:ascii="方正书宋_GBK" w:eastAsia="方正书宋_GBK"/>
              </w:rPr>
              <w:t>批字【2014】1247号《关于调整土地租金的请示》的批复</w:t>
            </w:r>
          </w:p>
          <w:p>
            <w:pPr>
              <w:widowControl/>
              <w:adjustRightInd w:val="0"/>
              <w:snapToGrid w:val="0"/>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09"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保障正常办公</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10分，达到目标值得满分，与上年持平得10分，不足于上年得5分。</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反映保障日常办公需要，维持单位正常运转</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b w:val="0"/>
                <w:bCs w:val="0"/>
                <w:sz w:val="21"/>
                <w:szCs w:val="21"/>
              </w:rPr>
              <w:t>文字描述</w:t>
            </w:r>
          </w:p>
        </w:tc>
        <w:tc>
          <w:tcPr>
            <w:tcW w:w="1125" w:type="dxa"/>
            <w:tcBorders>
              <w:tl2br w:val="nil"/>
              <w:tr2bl w:val="nil"/>
            </w:tcBorders>
            <w:vAlign w:val="center"/>
          </w:tcPr>
          <w:p>
            <w:pPr>
              <w:widowControl/>
              <w:adjustRightInd w:val="0"/>
              <w:snapToGrid w:val="0"/>
              <w:jc w:val="center"/>
              <w:rPr>
                <w:rFonts w:ascii="方正书宋_GBK" w:eastAsia="方正书宋_GBK"/>
              </w:rPr>
            </w:pPr>
          </w:p>
        </w:tc>
        <w:tc>
          <w:tcPr>
            <w:tcW w:w="13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显著提高</w:t>
            </w:r>
          </w:p>
        </w:tc>
        <w:tc>
          <w:tcPr>
            <w:tcW w:w="2835"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督查室【2019】2057号《关于申请增加电费及报刊经费的请示》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业务能力增强</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10分，达到目标值得满分，与上年持平得10分，不足于上年得5分。</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反映干部职工的办公能力提升</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b w:val="0"/>
                <w:bCs w:val="0"/>
                <w:sz w:val="21"/>
                <w:szCs w:val="21"/>
              </w:rPr>
              <w:t>文字描述</w:t>
            </w:r>
          </w:p>
        </w:tc>
        <w:tc>
          <w:tcPr>
            <w:tcW w:w="1125" w:type="dxa"/>
            <w:tcBorders>
              <w:tl2br w:val="nil"/>
              <w:tr2bl w:val="nil"/>
            </w:tcBorders>
            <w:vAlign w:val="center"/>
          </w:tcPr>
          <w:p>
            <w:pPr>
              <w:widowControl/>
              <w:adjustRightInd w:val="0"/>
              <w:snapToGrid w:val="0"/>
              <w:jc w:val="center"/>
              <w:rPr>
                <w:rFonts w:ascii="方正书宋_GBK" w:eastAsia="方正书宋_GBK"/>
              </w:rPr>
            </w:pPr>
          </w:p>
        </w:tc>
        <w:tc>
          <w:tcPr>
            <w:tcW w:w="13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持续提高</w:t>
            </w:r>
          </w:p>
        </w:tc>
        <w:tc>
          <w:tcPr>
            <w:tcW w:w="2835" w:type="dxa"/>
            <w:tcBorders>
              <w:tl2br w:val="nil"/>
              <w:tr2bl w:val="nil"/>
            </w:tcBorders>
            <w:vAlign w:val="center"/>
          </w:tcPr>
          <w:p>
            <w:pPr>
              <w:widowControl/>
              <w:adjustRightInd w:val="0"/>
              <w:snapToGrid w:val="0"/>
              <w:jc w:val="left"/>
              <w:rPr>
                <w:rFonts w:ascii="方正书宋_GBK" w:eastAsia="方正书宋_GBK"/>
              </w:rPr>
            </w:pPr>
            <w:r>
              <w:rPr>
                <w:rFonts w:hint="eastAsia" w:ascii="方正书宋_GBK" w:eastAsia="方正书宋_GBK"/>
              </w:rPr>
              <w:t>督查室【2019】2113号、《关于申请非公企业和社会组织党建工作专项经费的请示》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36"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74"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参与活动的企业满意度</w:t>
            </w:r>
          </w:p>
          <w:p>
            <w:pPr>
              <w:widowControl/>
              <w:adjustRightInd w:val="0"/>
              <w:snapToGrid w:val="0"/>
              <w:jc w:val="center"/>
              <w:rPr>
                <w:rFonts w:ascii="方正书宋_GBK" w:eastAsia="方正书宋_GBK"/>
              </w:rPr>
            </w:pPr>
          </w:p>
        </w:tc>
        <w:tc>
          <w:tcPr>
            <w:tcW w:w="210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10分，达到目标值得满分，每降低10%扣相应权重分的10%。</w:t>
            </w:r>
          </w:p>
        </w:tc>
        <w:tc>
          <w:tcPr>
            <w:tcW w:w="1860"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调查中满意和较满意的企业数占调查总企业数的比率</w:t>
            </w:r>
          </w:p>
          <w:p>
            <w:pPr>
              <w:widowControl/>
              <w:adjustRightInd w:val="0"/>
              <w:snapToGrid w:val="0"/>
              <w:jc w:val="center"/>
              <w:rPr>
                <w:rFonts w:ascii="方正书宋_GBK" w:eastAsia="方正书宋_GBK"/>
              </w:rPr>
            </w:pPr>
          </w:p>
        </w:tc>
        <w:tc>
          <w:tcPr>
            <w:tcW w:w="100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12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13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问卷调查</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575"/>
        <w:gridCol w:w="1725"/>
        <w:gridCol w:w="2386"/>
        <w:gridCol w:w="2159"/>
        <w:gridCol w:w="4728"/>
      </w:tblGrid>
      <w:tr>
        <w:tblPrEx>
          <w:tblCellMar>
            <w:top w:w="0" w:type="dxa"/>
            <w:left w:w="108" w:type="dxa"/>
            <w:bottom w:w="0" w:type="dxa"/>
            <w:right w:w="108" w:type="dxa"/>
          </w:tblCellMar>
        </w:tblPrEx>
        <w:trPr>
          <w:cantSplit/>
          <w:trHeight w:val="397" w:hRule="atLeast"/>
          <w:tblHeader/>
          <w:jc w:val="center"/>
        </w:trPr>
        <w:tc>
          <w:tcPr>
            <w:tcW w:w="148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73" w:type="dxa"/>
            <w:gridSpan w:val="5"/>
            <w:vAlign w:val="center"/>
          </w:tcPr>
          <w:p>
            <w:pPr>
              <w:spacing w:line="300" w:lineRule="exact"/>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通过深入贯彻落实安全生产工作要求，为实现农业发展总目标保驾护航。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7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2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86"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1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72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restart"/>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1575"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数量指标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日常支出</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安全生产方面日常支出</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=0.3万元</w:t>
            </w:r>
          </w:p>
        </w:tc>
        <w:tc>
          <w:tcPr>
            <w:tcW w:w="4728" w:type="dxa"/>
            <w:vAlign w:val="center"/>
          </w:tcPr>
          <w:p>
            <w:pPr>
              <w:widowControl/>
              <w:jc w:val="left"/>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质量合格率</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质量合格率=宣传品合格数量/宣传品全部数量×100%</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=100%</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按时完成及时率</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反映工作完成及时率</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=100%</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vAlign w:val="center"/>
          </w:tcPr>
          <w:p>
            <w:pPr>
              <w:rPr>
                <w:rFonts w:hint="eastAsia" w:ascii="仿宋_GB2312" w:hAnsi="仿宋_GB2312" w:eastAsia="仿宋_GB2312" w:cs="仿宋_GB2312"/>
              </w:rPr>
            </w:pPr>
          </w:p>
        </w:tc>
        <w:tc>
          <w:tcPr>
            <w:tcW w:w="15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成本控制</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一次安全生产培训费用</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≤0.3万元</w:t>
            </w:r>
          </w:p>
        </w:tc>
        <w:tc>
          <w:tcPr>
            <w:tcW w:w="4728" w:type="dxa"/>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1575" w:type="dxa"/>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社会效益指标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保障园区生产安全</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保障区域内安全生产需要</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明显改善</w:t>
            </w:r>
          </w:p>
        </w:tc>
        <w:tc>
          <w:tcPr>
            <w:tcW w:w="4728" w:type="dxa"/>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sz w:val="21"/>
                <w:szCs w:val="21"/>
                <w:lang w:val="en-US" w:eastAsia="zh-CN"/>
              </w:rPr>
              <w:t>《安全法》第八条；督查室【2018】726号、《关于加强安监站建设申请拨付资金的请示》；三政【2020】17号《三河市人民政府关于印发&lt;三河市创建精品高端优特产业园的实施意见&gt;的通知》、工作计划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9" w:hRule="atLeast"/>
          <w:jc w:val="center"/>
        </w:trPr>
        <w:tc>
          <w:tcPr>
            <w:tcW w:w="1489" w:type="dxa"/>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75" w:type="dxa"/>
            <w:vAlign w:val="center"/>
          </w:tcPr>
          <w:p>
            <w:pPr>
              <w:spacing w:line="300" w:lineRule="exact"/>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服务对象满意度指标</w:t>
            </w:r>
          </w:p>
        </w:tc>
        <w:tc>
          <w:tcPr>
            <w:tcW w:w="1725"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参与企业满意度</w:t>
            </w:r>
          </w:p>
        </w:tc>
        <w:tc>
          <w:tcPr>
            <w:tcW w:w="2386"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调查中满意和较满意的企业数占调查总数</w:t>
            </w:r>
          </w:p>
        </w:tc>
        <w:tc>
          <w:tcPr>
            <w:tcW w:w="2159"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≥90%</w:t>
            </w:r>
          </w:p>
        </w:tc>
        <w:tc>
          <w:tcPr>
            <w:tcW w:w="4728" w:type="dxa"/>
            <w:vAlign w:val="center"/>
          </w:tcPr>
          <w:p>
            <w:pPr>
              <w:spacing w:line="30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问卷调查</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党建工作经费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通过项目的开展，完成办公设施日常维护及故障排除，实现机关的行政、后勤管理得到保障，园区工作全面均衡发展。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7"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党建培训次数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反映全年园区党建培训次数</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=4次</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7"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参会人员出勤率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反映参会人员占应参会人员的比例</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6"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党建培训成本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反映每次党建培训单位成本的控制情况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≤0.5万元</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企业及园区干部职工思想业务能力</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企业及园区干部职工思想政治品质及业务能力提升</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持续提高</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督查室【2019】2113号、《关于申请非公企业和社会组织党建工作专项经费的请示》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企业及园区干部职工满意度</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通过问卷调查，满意和较满意的对象占所有调查对象的比例</w:t>
            </w:r>
          </w:p>
        </w:tc>
        <w:tc>
          <w:tcPr>
            <w:tcW w:w="1620" w:type="dxa"/>
            <w:vAlign w:val="center"/>
          </w:tcPr>
          <w:p>
            <w:pPr>
              <w:pStyle w:val="15"/>
              <w:jc w:val="center"/>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3.农业园区考核评估工作经费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6"/>
        <w:gridCol w:w="1404"/>
        <w:gridCol w:w="1705"/>
        <w:gridCol w:w="2141"/>
        <w:gridCol w:w="872"/>
        <w:gridCol w:w="6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066"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96"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通过项目实施，确保准备工作顺利进行，顺利通过考核评估。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6" w:hRule="atLeast"/>
          <w:tblHeader/>
          <w:jc w:val="center"/>
        </w:trPr>
        <w:tc>
          <w:tcPr>
            <w:tcW w:w="1066"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04"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7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41"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872"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6874"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3" w:hRule="atLeast"/>
          <w:jc w:val="center"/>
        </w:trPr>
        <w:tc>
          <w:tcPr>
            <w:tcW w:w="1066"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40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制作专题片及ppt数量</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反映制作专题片及ppt数量</w:t>
            </w:r>
          </w:p>
        </w:tc>
        <w:tc>
          <w:tcPr>
            <w:tcW w:w="872"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=2个</w:t>
            </w:r>
          </w:p>
        </w:tc>
        <w:tc>
          <w:tcPr>
            <w:tcW w:w="687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066"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0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配套设施完成率（%）</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实际完成设施量占计划完成设施量的比率</w:t>
            </w:r>
          </w:p>
        </w:tc>
        <w:tc>
          <w:tcPr>
            <w:tcW w:w="872"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687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85" w:hRule="atLeast"/>
          <w:jc w:val="center"/>
        </w:trPr>
        <w:tc>
          <w:tcPr>
            <w:tcW w:w="1066"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0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872"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687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066"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0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制作专题片及PPT成本</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反映单次制作专题片及PPT成本情况</w:t>
            </w:r>
          </w:p>
        </w:tc>
        <w:tc>
          <w:tcPr>
            <w:tcW w:w="872"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 xml:space="preserve"> 20万元</w:t>
            </w:r>
          </w:p>
        </w:tc>
        <w:tc>
          <w:tcPr>
            <w:tcW w:w="687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7" w:hRule="atLeast"/>
          <w:jc w:val="center"/>
        </w:trPr>
        <w:tc>
          <w:tcPr>
            <w:tcW w:w="1066"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40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园区知名度</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提高园区知名度</w:t>
            </w:r>
          </w:p>
        </w:tc>
        <w:tc>
          <w:tcPr>
            <w:tcW w:w="872"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明显改善</w:t>
            </w:r>
          </w:p>
        </w:tc>
        <w:tc>
          <w:tcPr>
            <w:tcW w:w="687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国科发农【2020】173号科技部 农业农村部 水利部 国家林业和草原局 中国科学院 中国农业银行关于印发《国家农业科技园区管理办法》的通知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066"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40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17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企业及园区干部职工满意度</w:t>
            </w:r>
          </w:p>
        </w:tc>
        <w:tc>
          <w:tcPr>
            <w:tcW w:w="2141"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调查中满意和较满意的人员占全部调查人数的比率</w:t>
            </w:r>
          </w:p>
        </w:tc>
        <w:tc>
          <w:tcPr>
            <w:tcW w:w="872"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90%</w:t>
            </w:r>
          </w:p>
        </w:tc>
        <w:tc>
          <w:tcPr>
            <w:tcW w:w="687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棚室补贴</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通过棚室补贴项目，打造提升发展农业产业，带动农民就业，为农民增收。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=237.9472亩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温室验收合格数量/全部建成温室数量</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1"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验收完成时间</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验收完成所用天数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园区温室单位补贴标准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反映园区温室每亩补贴标准</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=2.5万元/亩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推进绿色农业发展水平</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反映项目实施对绿色农业影响</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调查中满意和较满意的企业数占调查企业总数的比率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5.棚室补贴全额保障经费绩效目标表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通过棚室补贴项目，打造提升发展农业产业，带动农民就业，为农民增收。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=237.9472亩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温室验收合格数量/全部建成温室数量</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CellMar>
            <w:top w:w="0" w:type="dxa"/>
            <w:left w:w="108" w:type="dxa"/>
            <w:bottom w:w="0" w:type="dxa"/>
            <w:right w:w="108" w:type="dxa"/>
          </w:tblCellMar>
        </w:tblPrEx>
        <w:trPr>
          <w:cantSplit/>
          <w:trHeight w:val="6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验收完成时间</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验收完成所用天数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60天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园区温室单位补贴标准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反映园区温室每亩补贴标准</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=2.5万元/亩</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推进绿色农业发展水平</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反映项目实施对绿色农业影响</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督查室（2020）2714号《关于利都农业生态科技产业园新建棚室补贴所需资金的请示》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调查中满意和较满意的企业数占调查企业总数的比率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Times New Roman" w:hAnsi="Times New Roman" w:eastAsia="仿宋_GB2312" w:cs="Times New Roman"/>
          <w:sz w:val="28"/>
        </w:rPr>
        <w:t>土地租金全额保障经费绩效目标表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通过合理利用土地，实现发展农业产业，为农民增收。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土地租赁面积</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反映土地租赁面积</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=7815.3亩</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上缴完成率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上缴财政土地租金占实际收入土地租金的比例</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9"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园区土地年度租赁费标准</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反映园区每亩土地年度租赁费标准</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=1500元/亩</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合理使用土地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区域内合理使用土地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批字【2014】1247号《关于调整土地租金的请示》的批复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园区绿化及设施维护经费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通过排除基础设施故障，绿化养护及基础设施维护，保证区域内绿化养护达标。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园区绿化养护次数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反映园区全年绿化养护次数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=4次</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设施维护合格数量/设施维护全部数量×100%。</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8"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按时维修完成及时率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反映维修工作完成及时率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8" w:hRule="atLeast"/>
          <w:jc w:val="center"/>
        </w:trPr>
        <w:tc>
          <w:tcPr>
            <w:tcW w:w="1759" w:type="dxa"/>
            <w:vMerge w:val="continue"/>
            <w:vAlign w:val="center"/>
          </w:tcPr>
          <w:p/>
        </w:tc>
        <w:tc>
          <w:tcPr>
            <w:tcW w:w="1605" w:type="dxa"/>
            <w:vMerge w:val="restart"/>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单位月份园区绿化养护成本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反应每月园区绿化养护成本情况</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=35750元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4" w:hRule="atLeast"/>
          <w:jc w:val="center"/>
        </w:trPr>
        <w:tc>
          <w:tcPr>
            <w:tcW w:w="1759" w:type="dxa"/>
            <w:vMerge w:val="continue"/>
            <w:vAlign w:val="center"/>
          </w:tc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电工及清扫人员工资</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反映电工及清扫人员工资</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≤1.3万元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8.园区绿化及设施维护年度保障经费绩效目标表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通过排除基础设施故障，绿化养护及基础设施维护，保证区域内绿化养护达标。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园区绿化养护次数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反映园区全年绿化养护次数</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=12次</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设施维护合格数量/设施维护全部数量×100%。</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按时维修完成及时率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反映维修工作完成及时率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tc>
        <w:tc>
          <w:tcPr>
            <w:tcW w:w="1605" w:type="dxa"/>
            <w:vMerge w:val="restart"/>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单位月份园区绿化养护成本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反应每月园区绿化养护成本情况</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=37600元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劳务费</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反映电工及清扫人员工资</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highlight w:val="none"/>
                <w:lang w:val="en-US" w:eastAsia="zh-CN" w:bidi="ar-SA"/>
              </w:rPr>
              <w:t>≤132000元</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批字【2013】1762号《关于将绿化维护和清扫保洁所需资金列入2016年预算的请示》的批复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招商引资经费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通过推动园区招商引资工作，力争取得新突破，促进园区经济发展。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招商活动次数</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反映园区招商活动次数</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=4次</w:t>
            </w:r>
          </w:p>
        </w:tc>
        <w:tc>
          <w:tcPr>
            <w:tcW w:w="4938" w:type="dxa"/>
            <w:vAlign w:val="center"/>
          </w:tcPr>
          <w:p>
            <w:pPr>
              <w:widowControl/>
              <w:jc w:val="left"/>
              <w:textAlignment w:val="center"/>
              <w:rPr>
                <w:rFonts w:ascii="Times New Roman" w:hAnsi="Times New Roman" w:eastAsia="仿宋_GB2312" w:cs="Times New Roma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质量合格率</w:t>
            </w:r>
            <w:r>
              <w:rPr>
                <w:rFonts w:hint="eastAsia" w:ascii="Times New Roman" w:hAnsi="Times New Roman" w:eastAsia="仿宋_GB2312" w:cs="Times New Roman"/>
                <w:lang w:val="en-US" w:eastAsia="zh-CN"/>
              </w:rPr>
              <w:t>=</w:t>
            </w:r>
            <w:r>
              <w:rPr>
                <w:rFonts w:hint="eastAsia" w:ascii="仿宋_GB2312" w:hAnsi="仿宋_GB2312" w:eastAsia="仿宋_GB2312" w:cs="仿宋_GB2312"/>
                <w:sz w:val="21"/>
                <w:szCs w:val="21"/>
                <w:lang w:val="en-US" w:eastAsia="zh-CN"/>
              </w:rPr>
              <w:t>宣传品合格数量/宣传品全部数量×100%</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 o:spid="_x0000_s1145" o:spt="75" type="#_x0000_t75" style="position:absolute;left:0pt;margin-left:43.5pt;margin-top:24.85pt;height:16.35pt;width:6pt;z-index:25165926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 o:spid="_x0000_s1146" o:spt="75" type="#_x0000_t75" style="position:absolute;left:0pt;margin-left:48pt;margin-top:24.85pt;height:16.35pt;width:6pt;z-index:25166028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 o:spid="_x0000_s1147" o:spt="75" type="#_x0000_t75" style="position:absolute;left:0pt;margin-left:48pt;margin-top:24.85pt;height:16.35pt;width:6pt;z-index:25166131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按时完成及时率</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3" o:spid="_x0000_s1148" o:spt="75" type="#_x0000_t75" style="position:absolute;left:0pt;margin-left:48pt;margin-top:24.85pt;height:16.35pt;width:6pt;z-index:25166233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4" o:spid="_x0000_s1149" o:spt="75" type="#_x0000_t75" style="position:absolute;left:0pt;margin-left:48pt;margin-top:24.85pt;height:17.2pt;width:6pt;z-index:25166336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5" o:spid="_x0000_s1150" o:spt="75" type="#_x0000_t75" style="position:absolute;left:0pt;margin-left:48pt;margin-top:24.85pt;height:16.35pt;width:6pt;z-index:25166438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6" o:spid="_x0000_s1151" o:spt="75" type="#_x0000_t75" style="position:absolute;left:0pt;margin-left:48pt;margin-top:24.85pt;height:16.35pt;width:6pt;z-index:25166540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7" o:spid="_x0000_s1152" o:spt="75" type="#_x0000_t75" style="position:absolute;left:0pt;margin-left:48pt;margin-top:24.85pt;height:17.2pt;width:6pt;z-index:251666432;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8" o:spid="_x0000_s1153" o:spt="75" type="#_x0000_t75" style="position:absolute;left:0pt;margin-left:48pt;margin-top:24.85pt;height:16.35pt;width:6pt;z-index:25166745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反映工作完成及时率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4" w:hRule="atLeast"/>
          <w:jc w:val="center"/>
        </w:trPr>
        <w:tc>
          <w:tcPr>
            <w:tcW w:w="1759" w:type="dxa"/>
            <w:vMerge w:val="continue"/>
            <w:vAlign w:val="center"/>
          </w:tcPr>
          <w:p/>
        </w:tc>
        <w:tc>
          <w:tcPr>
            <w:tcW w:w="160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9" o:spid="_x0000_s1154" o:spt="75" type="#_x0000_t75" style="position:absolute;left:0pt;margin-left:42.75pt;margin-top:14.9pt;height:16.55pt;width:6pt;z-index:251668480;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0" o:spid="_x0000_s1155" o:spt="75" type="#_x0000_t75" style="position:absolute;left:0pt;margin-left:43.5pt;margin-top:14.9pt;height:16.55pt;width:7.5pt;z-index:251669504;mso-width-relative:page;mso-height-relative:page;" fillcolor="#FFFFFF" filled="f" o:preferrelative="t" stroked="f" coordsize="21600,21600">
                  <v:path/>
                  <v:fill on="f" color2="#FFFFFF" focussize="0,0"/>
                  <v:stroke on="f"/>
                  <v:imagedata r:id="rId7"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1" o:spid="_x0000_s1156" o:spt="75" type="#_x0000_t75" style="position:absolute;left:0pt;margin-left:43.5pt;margin-top:14.9pt;height:16.55pt;width:6pt;z-index:251670528;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2" o:spid="_x0000_s1157" o:spt="75" type="#_x0000_t75" style="position:absolute;left:0pt;margin-left:48pt;margin-top:24.85pt;height:16.35pt;width:6pt;z-index:25167155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招商引资活动单位成本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p>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kern w:val="2"/>
                <w:sz w:val="21"/>
                <w:szCs w:val="21"/>
                <w:lang w:val="en-US" w:eastAsia="zh-CN" w:bidi="ar-SA"/>
              </w:rPr>
              <w:pict>
                <v:shape id="Text_Box_1_SpCnt_13" o:spid="_x0000_s1158" o:spt="75" type="#_x0000_t75" style="position:absolute;left:0pt;margin-left:48pt;margin-top:24.85pt;height:16.35pt;width:6pt;z-index:25167257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4" o:spid="_x0000_s1159" o:spt="75" type="#_x0000_t75" style="position:absolute;left:0pt;margin-left:48pt;margin-top:24.85pt;height:16.35pt;width:6pt;z-index:251673600;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5" o:spid="_x0000_s1160" o:spt="75" type="#_x0000_t75" style="position:absolute;left:0pt;margin-left:48pt;margin-top:24.85pt;height:16.35pt;width:6pt;z-index:25167462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6" o:spid="_x0000_s1161" o:spt="75" type="#_x0000_t75" style="position:absolute;left:0pt;margin-left:48pt;margin-top:24.85pt;height:16.35pt;width:6pt;z-index:25167564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7" o:spid="_x0000_s1162" o:spt="75" type="#_x0000_t75" style="position:absolute;left:0pt;margin-left:48pt;margin-top:24.85pt;height:16.35pt;width:6pt;z-index:25167667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8" o:spid="_x0000_s1163" o:spt="75" type="#_x0000_t75" style="position:absolute;left:0pt;margin-left:48pt;margin-top:24.85pt;height:16.35pt;width:6pt;z-index:251677696;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19" o:spid="_x0000_s1164" o:spt="75" type="#_x0000_t75" style="position:absolute;left:0pt;margin-left:48pt;margin-top:24.85pt;height:16.35pt;width:6pt;z-index:251678720;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0" o:spid="_x0000_s1165" o:spt="75" type="#_x0000_t75" style="position:absolute;left:0pt;margin-left:48pt;margin-top:24.85pt;height:16.35pt;width:6pt;z-index:251679744;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1" o:spid="_x0000_s1166" o:spt="75" type="#_x0000_t75" style="position:absolute;left:0pt;margin-left:48pt;margin-top:24.85pt;height:16.35pt;width:6pt;z-index:251680768;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kern w:val="2"/>
                <w:sz w:val="21"/>
                <w:szCs w:val="21"/>
                <w:lang w:val="en-US" w:eastAsia="zh-CN" w:bidi="ar-SA"/>
              </w:rPr>
              <w:pict>
                <v:shape id="Text_Box_1_SpCnt_22" o:spid="_x0000_s1167" o:spt="75" type="#_x0000_t75" style="position:absolute;left:0pt;margin-left:48pt;margin-top:24.85pt;height:16.35pt;width:6pt;z-index:251681792;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仿宋_GB2312" w:hAnsi="仿宋_GB2312" w:eastAsia="仿宋_GB2312" w:cs="仿宋_GB2312"/>
                <w:sz w:val="21"/>
                <w:szCs w:val="21"/>
                <w:lang w:val="en-US" w:eastAsia="zh-CN"/>
              </w:rPr>
              <w:t>反映平均每次招商引资活动成本控制情况</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 xml:space="preserve"> 5万元</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园区知名度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提高园区知名度</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明显改善</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督查室【2019】210号、《关于招商经费列入2019年财政预算的请示》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参与企业满意度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调查中满意和较满意的企业数占调查总企业数的比率</w:t>
            </w:r>
          </w:p>
        </w:tc>
        <w:tc>
          <w:tcPr>
            <w:tcW w:w="1620" w:type="dxa"/>
            <w:vAlign w:val="center"/>
          </w:tcPr>
          <w:p>
            <w:pPr>
              <w:spacing w:line="300" w:lineRule="exact"/>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w:t>
            </w:r>
            <w:r>
              <w:rPr>
                <w:rFonts w:hint="eastAsia" w:ascii="Times New Roman" w:hAnsi="Times New Roman" w:eastAsia="仿宋_GB2312" w:cs="Times New Roman"/>
                <w:lang w:val="en-US" w:eastAsia="zh-CN"/>
              </w:rPr>
              <w:t>90%</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hint="eastAsia" w:ascii="Times New Roman" w:hAnsi="Times New Roman" w:eastAsia="仿宋_GB2312" w:cs="Times New Roman"/>
          <w:sz w:val="28"/>
        </w:rPr>
        <w:t>综合管理年度保障经费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通过实施综合事务管理项目，极大提升园区的办公及营商环境。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保障人数</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反映保障人数</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8人</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运转支出</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电费、锅炉维保等运转经费</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1次</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保障人员率</w:t>
            </w:r>
          </w:p>
        </w:tc>
        <w:tc>
          <w:tcPr>
            <w:tcW w:w="213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保障人员率=保障人数/需保障总人数×100%</w:t>
            </w:r>
          </w:p>
        </w:tc>
        <w:tc>
          <w:tcPr>
            <w:tcW w:w="126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工资发放及时率</w:t>
            </w:r>
          </w:p>
        </w:tc>
        <w:tc>
          <w:tcPr>
            <w:tcW w:w="2130"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反映按时发放工资及时率</w:t>
            </w:r>
          </w:p>
        </w:tc>
        <w:tc>
          <w:tcPr>
            <w:tcW w:w="126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劳务派遣人员工资发放及保险标准</w:t>
            </w:r>
          </w:p>
        </w:tc>
        <w:tc>
          <w:tcPr>
            <w:tcW w:w="213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rPr>
              <w:t>反映劳务派遣人员年工资发放及保险标准</w:t>
            </w:r>
          </w:p>
        </w:tc>
        <w:tc>
          <w:tcPr>
            <w:tcW w:w="1260" w:type="dxa"/>
            <w:vAlign w:val="center"/>
          </w:tcPr>
          <w:p>
            <w:pPr>
              <w:pStyle w:val="15"/>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rPr>
              <w:t>≤49.4万元</w:t>
            </w:r>
          </w:p>
        </w:tc>
        <w:tc>
          <w:tcPr>
            <w:tcW w:w="5298" w:type="dxa"/>
            <w:vAlign w:val="center"/>
          </w:tcPr>
          <w:p>
            <w:pPr>
              <w:pStyle w:val="15"/>
              <w:jc w:val="center"/>
              <w:rPr>
                <w:rFonts w:hint="eastAsia" w:ascii="仿宋_GB2312" w:hAnsi="仿宋_GB2312" w:eastAsia="仿宋_GB2312" w:cs="仿宋_GB2312"/>
                <w:sz w:val="21"/>
                <w:szCs w:val="21"/>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运转支出成本</w:t>
            </w:r>
          </w:p>
        </w:tc>
        <w:tc>
          <w:tcPr>
            <w:tcW w:w="213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反映运转支出成本</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≤58.54万元</w:t>
            </w:r>
          </w:p>
        </w:tc>
        <w:tc>
          <w:tcPr>
            <w:tcW w:w="5298"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保障日常办公需要，维持单位正常运转</w:t>
            </w:r>
          </w:p>
        </w:tc>
        <w:tc>
          <w:tcPr>
            <w:tcW w:w="213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反映保障日常办公需要，维持单位正常运转</w:t>
            </w:r>
          </w:p>
        </w:tc>
        <w:tc>
          <w:tcPr>
            <w:tcW w:w="1260" w:type="dxa"/>
            <w:vAlign w:val="center"/>
          </w:tcPr>
          <w:p>
            <w:pPr>
              <w:pStyle w:val="15"/>
              <w:jc w:val="center"/>
              <w:rPr>
                <w:rFonts w:hint="eastAsia" w:ascii="仿宋_GB2312" w:hAnsi="仿宋_GB2312" w:eastAsia="仿宋_GB2312" w:cs="仿宋_GB2312"/>
              </w:rPr>
            </w:pPr>
            <w:r>
              <w:rPr>
                <w:rFonts w:hint="eastAsia" w:ascii="仿宋_GB2312" w:hAnsi="仿宋_GB2312" w:eastAsia="仿宋_GB2312" w:cs="仿宋_GB2312"/>
              </w:rPr>
              <w:t>显著提高</w:t>
            </w:r>
          </w:p>
        </w:tc>
        <w:tc>
          <w:tcPr>
            <w:tcW w:w="529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1、三编【2017】29号《关于河北三河国家农业科技园区管理委员会政府购买服务用工名额的批复》；2、三编【2019】104号《关于农业科技园区补招6名政府购买服务人员的批复》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园区办公人员满意度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调查中满意和较满意的办公人员占全部调查人数的比率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hint="eastAsia" w:ascii="Times New Roman" w:hAnsi="Times New Roman" w:eastAsia="仿宋_GB2312" w:cs="Times New Roman"/>
          <w:sz w:val="28"/>
        </w:rPr>
        <w:t>综合管理业务费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605"/>
        <w:gridCol w:w="2010"/>
        <w:gridCol w:w="2130"/>
        <w:gridCol w:w="1260"/>
        <w:gridCol w:w="5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通过实施综合事务管理项目，极大提升园区的办公及营商环境。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0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01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13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6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29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01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锅炉维保次数</w:t>
            </w:r>
          </w:p>
        </w:tc>
        <w:tc>
          <w:tcPr>
            <w:tcW w:w="213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每年锅炉维保次数</w:t>
            </w:r>
          </w:p>
        </w:tc>
        <w:tc>
          <w:tcPr>
            <w:tcW w:w="1260" w:type="dxa"/>
            <w:vAlign w:val="center"/>
          </w:tcPr>
          <w:p>
            <w:pPr>
              <w:pStyle w:val="15"/>
              <w:jc w:val="center"/>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=1次</w:t>
            </w:r>
          </w:p>
        </w:tc>
        <w:tc>
          <w:tcPr>
            <w:tcW w:w="5298"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01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保障人员率</w:t>
            </w:r>
          </w:p>
        </w:tc>
        <w:tc>
          <w:tcPr>
            <w:tcW w:w="213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保障人员率</w:t>
            </w: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i w:val="0"/>
                <w:iCs w:val="0"/>
                <w:color w:val="000000"/>
                <w:kern w:val="0"/>
                <w:sz w:val="21"/>
                <w:szCs w:val="21"/>
                <w:u w:val="none"/>
                <w:lang w:val="en-US" w:eastAsia="zh-CN"/>
              </w:rPr>
              <w:t>保障人数/需保障总人数×100%。</w:t>
            </w:r>
          </w:p>
        </w:tc>
        <w:tc>
          <w:tcPr>
            <w:tcW w:w="126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sz w:val="21"/>
                <w:szCs w:val="21"/>
                <w:lang w:val="en-US" w:eastAsia="zh-CN"/>
              </w:rPr>
              <w:t>100%</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01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工资发放及时率</w:t>
            </w:r>
          </w:p>
        </w:tc>
        <w:tc>
          <w:tcPr>
            <w:tcW w:w="2130" w:type="dxa"/>
            <w:vAlign w:val="center"/>
          </w:tcPr>
          <w:p>
            <w:pPr>
              <w:widowControl/>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rPr>
              <w:t>反映按时发放工资及时率</w:t>
            </w:r>
          </w:p>
        </w:tc>
        <w:tc>
          <w:tcPr>
            <w:tcW w:w="126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default" w:ascii="Times New Roman" w:hAnsi="Times New Roman" w:eastAsia="仿宋_GB2312" w:cs="Times New Roman"/>
                <w:sz w:val="21"/>
                <w:szCs w:val="21"/>
                <w:lang w:val="en-US" w:eastAsia="zh-CN"/>
              </w:rPr>
              <w:t>=</w:t>
            </w:r>
            <w:r>
              <w:rPr>
                <w:rFonts w:hint="eastAsia" w:ascii="仿宋_GB2312" w:hAnsi="仿宋_GB2312" w:eastAsia="仿宋_GB2312" w:cs="仿宋_GB2312"/>
                <w:sz w:val="21"/>
                <w:szCs w:val="21"/>
                <w:lang w:val="en-US" w:eastAsia="zh-CN"/>
              </w:rPr>
              <w:t>100%</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01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大门安全检测及项目运转成本</w:t>
            </w:r>
          </w:p>
        </w:tc>
        <w:tc>
          <w:tcPr>
            <w:tcW w:w="213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反映大门安全检测及项目运转成本</w:t>
            </w:r>
          </w:p>
        </w:tc>
        <w:tc>
          <w:tcPr>
            <w:tcW w:w="1260" w:type="dxa"/>
            <w:vAlign w:val="center"/>
          </w:tcPr>
          <w:p>
            <w:pPr>
              <w:pStyle w:val="15"/>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≤22.31万元</w:t>
            </w:r>
          </w:p>
        </w:tc>
        <w:tc>
          <w:tcPr>
            <w:tcW w:w="5298" w:type="dxa"/>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Merge w:val="continue"/>
            <w:vAlign w:val="center"/>
          </w:tcPr>
          <w:p>
            <w:pPr>
              <w:rPr>
                <w:rFonts w:hint="eastAsia" w:ascii="仿宋_GB2312" w:hAnsi="仿宋_GB2312" w:eastAsia="仿宋_GB2312" w:cs="仿宋_GB2312"/>
                <w:sz w:val="21"/>
                <w:szCs w:val="21"/>
              </w:rPr>
            </w:pPr>
          </w:p>
        </w:tc>
        <w:tc>
          <w:tcPr>
            <w:tcW w:w="1605"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201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璞然生态园规划编制成本</w:t>
            </w:r>
          </w:p>
        </w:tc>
        <w:tc>
          <w:tcPr>
            <w:tcW w:w="213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反映璞然生态园规划编制成本</w:t>
            </w:r>
          </w:p>
        </w:tc>
        <w:tc>
          <w:tcPr>
            <w:tcW w:w="1260" w:type="dxa"/>
            <w:vAlign w:val="center"/>
          </w:tcPr>
          <w:p>
            <w:pPr>
              <w:pStyle w:val="15"/>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≤15万元</w:t>
            </w:r>
          </w:p>
        </w:tc>
        <w:tc>
          <w:tcPr>
            <w:tcW w:w="5298" w:type="dxa"/>
            <w:vAlign w:val="center"/>
          </w:tcPr>
          <w:p>
            <w:pPr>
              <w:spacing w:line="300" w:lineRule="exact"/>
              <w:jc w:val="left"/>
              <w:rPr>
                <w:rFonts w:hint="eastAsia" w:ascii="仿宋_GB2312" w:hAnsi="仿宋_GB2312" w:eastAsia="仿宋_GB2312" w:cs="仿宋_GB2312"/>
                <w:i w:val="0"/>
                <w:iCs w:val="0"/>
                <w:color w:val="000000"/>
                <w:kern w:val="0"/>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保障日常办公需要，维持单位正常运转</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反映保障日常办公需要，维持单位正常运转</w:t>
            </w:r>
          </w:p>
        </w:tc>
        <w:tc>
          <w:tcPr>
            <w:tcW w:w="1260"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显著提高</w:t>
            </w:r>
          </w:p>
        </w:tc>
        <w:tc>
          <w:tcPr>
            <w:tcW w:w="529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kern w:val="0"/>
                <w:sz w:val="21"/>
                <w:szCs w:val="21"/>
                <w:u w:val="none"/>
                <w:lang w:val="en-US" w:eastAsia="zh-CN" w:bidi="ar-SA"/>
              </w:rPr>
              <w:t>中共三河市委办公室关于转发廊档发【2021】1号文件的通知，廊坊市档案局关于转发《河北省档局关于印发&lt;河北省机关档案工作目标管理认定办法&gt;的通知》的通知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0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01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园区办公人员满意度</w:t>
            </w:r>
          </w:p>
        </w:tc>
        <w:tc>
          <w:tcPr>
            <w:tcW w:w="213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调查中满意和较满意的办公人员占全部调查人数的比率</w:t>
            </w:r>
          </w:p>
        </w:tc>
        <w:tc>
          <w:tcPr>
            <w:tcW w:w="1260" w:type="dxa"/>
            <w:vAlign w:val="center"/>
          </w:tcPr>
          <w:p>
            <w:pPr>
              <w:spacing w:line="300" w:lineRule="exact"/>
              <w:jc w:val="center"/>
              <w:rPr>
                <w:rFonts w:hint="default" w:ascii="Times New Roman" w:hAnsi="Times New Roman" w:eastAsia="仿宋_GB2312" w:cs="Times New Roman"/>
                <w:lang w:val="en-US" w:eastAsia="zh-CN"/>
              </w:rPr>
            </w:pPr>
            <w:r>
              <w:rPr>
                <w:rFonts w:hint="eastAsia" w:ascii="Times New Roman" w:hAnsi="Times New Roman" w:eastAsia="仿宋_GB2312" w:cs="Times New Roman"/>
              </w:rPr>
              <w:t>≥</w:t>
            </w:r>
            <w:r>
              <w:rPr>
                <w:rFonts w:hint="eastAsia" w:ascii="Times New Roman" w:hAnsi="Times New Roman" w:eastAsia="仿宋_GB2312" w:cs="Times New Roman"/>
                <w:lang w:val="en-US" w:eastAsia="zh-CN"/>
              </w:rPr>
              <w:t>90%</w:t>
            </w:r>
          </w:p>
        </w:tc>
        <w:tc>
          <w:tcPr>
            <w:tcW w:w="529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p>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12.农业园区总体规划规划环评项目绩效目标表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475"/>
        <w:gridCol w:w="2236"/>
        <w:gridCol w:w="2034"/>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通过编制农业园区总体规划的规划环评方案，优化调整环境，提升绿色农业发展水平。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75"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36"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034"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7"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47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2236"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农业园区总体规划核心区环境影响面积</w:t>
            </w:r>
          </w:p>
        </w:tc>
        <w:tc>
          <w:tcPr>
            <w:tcW w:w="2034"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反映环评面积的数量指标</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25平方公里</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8"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7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2236"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质量达标率</w:t>
            </w:r>
          </w:p>
        </w:tc>
        <w:tc>
          <w:tcPr>
            <w:tcW w:w="2034"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验收合格/总验收数</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rPr>
              <w:t>100%</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7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2236"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项目完成及时率</w:t>
            </w:r>
          </w:p>
        </w:tc>
        <w:tc>
          <w:tcPr>
            <w:tcW w:w="2034"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反映项目完工时间情况</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highlight w:val="none"/>
              </w:rPr>
              <w:t>≤100%</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3"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75"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2236"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平均成本</w:t>
            </w:r>
          </w:p>
        </w:tc>
        <w:tc>
          <w:tcPr>
            <w:tcW w:w="2034"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反映项目平均成本</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≤7.36万元/平方公里</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4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2236"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改善投资环境促进产业升级</w:t>
            </w:r>
          </w:p>
        </w:tc>
        <w:tc>
          <w:tcPr>
            <w:tcW w:w="2034"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反映项目实施产生的社会效益</w:t>
            </w:r>
          </w:p>
        </w:tc>
        <w:tc>
          <w:tcPr>
            <w:tcW w:w="1620"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显著提高</w:t>
            </w:r>
          </w:p>
        </w:tc>
        <w:tc>
          <w:tcPr>
            <w:tcW w:w="4938" w:type="dxa"/>
            <w:vAlign w:val="center"/>
          </w:tcPr>
          <w:p>
            <w:pPr>
              <w:pStyle w:val="15"/>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75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4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2236"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长效管理机制</w:t>
            </w:r>
          </w:p>
        </w:tc>
        <w:tc>
          <w:tcPr>
            <w:tcW w:w="203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项目实施的可持续性</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健全</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1" w:hRule="atLeast"/>
          <w:jc w:val="center"/>
        </w:trPr>
        <w:tc>
          <w:tcPr>
            <w:tcW w:w="175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475"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2236" w:type="dxa"/>
            <w:vAlign w:val="center"/>
          </w:tcPr>
          <w:p>
            <w:pPr>
              <w:pStyle w:val="1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农业园区内企业满意度</w:t>
            </w:r>
          </w:p>
        </w:tc>
        <w:tc>
          <w:tcPr>
            <w:tcW w:w="2034" w:type="dxa"/>
            <w:vAlign w:val="center"/>
          </w:tcPr>
          <w:p>
            <w:pPr>
              <w:pStyle w:val="1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rPr>
              <w:t>反映项目收益对象满意度情况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95%</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13.园区管委会办公区路面修补和给排水管道维修工程绩效目标表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9"/>
        <w:gridCol w:w="1664"/>
        <w:gridCol w:w="1814"/>
        <w:gridCol w:w="2647"/>
        <w:gridCol w:w="1620"/>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37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83" w:type="dxa"/>
            <w:gridSpan w:val="5"/>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通过编制农业园区总体规划的规划环评方案，优化调整环境，提升绿色农业发展水平。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79"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64"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14"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47"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620"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938" w:type="dxa"/>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137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产出指标</w:t>
            </w:r>
          </w:p>
        </w:tc>
        <w:tc>
          <w:tcPr>
            <w:tcW w:w="166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数量指标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道路施工面积</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反映道路面积的数量指标</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2500平米</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6" w:hRule="atLeast"/>
          <w:jc w:val="center"/>
        </w:trPr>
        <w:tc>
          <w:tcPr>
            <w:tcW w:w="137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6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质量达标率</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验收合格/总验收数</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37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6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时效指标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项目完成及时率</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反映项目完工时间情况</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7" w:hRule="atLeast"/>
          <w:jc w:val="center"/>
        </w:trPr>
        <w:tc>
          <w:tcPr>
            <w:tcW w:w="137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64"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成本指标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平均成本</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反映项目平均成本</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≤320元/平米</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1379" w:type="dxa"/>
            <w:vMerge w:val="restart"/>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效果指标</w:t>
            </w:r>
          </w:p>
        </w:tc>
        <w:tc>
          <w:tcPr>
            <w:tcW w:w="166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社会效益指标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改善投资环境促进产业升级</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反映项目实施产生的社会效益</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显著提高</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8" w:hRule="atLeast"/>
          <w:jc w:val="center"/>
        </w:trPr>
        <w:tc>
          <w:tcPr>
            <w:tcW w:w="1379" w:type="dxa"/>
            <w:vMerge w:val="continue"/>
            <w:vAlign w:val="center"/>
          </w:tcPr>
          <w:p>
            <w:pPr>
              <w:spacing w:line="300" w:lineRule="exact"/>
              <w:jc w:val="center"/>
              <w:rPr>
                <w:rFonts w:hint="eastAsia" w:ascii="仿宋_GB2312" w:hAnsi="仿宋_GB2312" w:eastAsia="仿宋_GB2312" w:cs="仿宋_GB2312"/>
                <w:sz w:val="21"/>
                <w:szCs w:val="21"/>
                <w:lang w:val="en-US" w:eastAsia="zh-CN"/>
              </w:rPr>
            </w:pPr>
          </w:p>
        </w:tc>
        <w:tc>
          <w:tcPr>
            <w:tcW w:w="166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可持续影响指标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长效管理机制</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项目实施的可持续性</w:t>
            </w:r>
          </w:p>
        </w:tc>
        <w:tc>
          <w:tcPr>
            <w:tcW w:w="1620"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健全 </w:t>
            </w:r>
          </w:p>
        </w:tc>
        <w:tc>
          <w:tcPr>
            <w:tcW w:w="4938"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5" w:hRule="atLeast"/>
          <w:jc w:val="center"/>
        </w:trPr>
        <w:tc>
          <w:tcPr>
            <w:tcW w:w="1379"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满意度指标</w:t>
            </w:r>
          </w:p>
        </w:tc>
        <w:tc>
          <w:tcPr>
            <w:tcW w:w="166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服务对象满意度指标</w:t>
            </w:r>
          </w:p>
        </w:tc>
        <w:tc>
          <w:tcPr>
            <w:tcW w:w="1814"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农业园区内企业满意度</w:t>
            </w:r>
          </w:p>
        </w:tc>
        <w:tc>
          <w:tcPr>
            <w:tcW w:w="2647" w:type="dxa"/>
            <w:vAlign w:val="center"/>
          </w:tcPr>
          <w:p>
            <w:pPr>
              <w:spacing w:line="30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反映项目收益对象满意度情况</w:t>
            </w:r>
          </w:p>
        </w:tc>
        <w:tc>
          <w:tcPr>
            <w:tcW w:w="1620"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w:t>
            </w:r>
          </w:p>
        </w:tc>
        <w:tc>
          <w:tcPr>
            <w:tcW w:w="4938" w:type="dxa"/>
            <w:vAlign w:val="center"/>
          </w:tcPr>
          <w:p>
            <w:pPr>
              <w:spacing w:line="30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286</w:t>
      </w:r>
      <w:r>
        <w:rPr>
          <w:rFonts w:ascii="Times New Roman" w:hAnsi="Times New Roman" w:eastAsia="仿宋_GB2312" w:cs="Times New Roman"/>
          <w:sz w:val="32"/>
          <w:szCs w:val="24"/>
        </w:rPr>
        <w:t>万元。具体内容见下表。</w:t>
      </w:r>
      <w:bookmarkEnd w:id="1"/>
    </w:p>
    <w:p>
      <w:pPr>
        <w:jc w:val="center"/>
        <w:outlineLvl w:val="1"/>
        <w:rPr>
          <w:rFonts w:hint="eastAsia"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left"/>
        <w:outlineLvl w:val="1"/>
        <w:rPr>
          <w:rFonts w:ascii="方正小标宋_GBK" w:eastAsia="方正小标宋_GBK" w:cs="Times New Roman"/>
          <w:sz w:val="32"/>
        </w:rPr>
      </w:pPr>
      <w:r>
        <w:rPr>
          <w:rFonts w:hint="eastAsia"/>
          <w:lang w:val="en-US" w:eastAsia="zh-CN"/>
        </w:rPr>
        <w:t>河北三河国家农业科技园区管理委员会</w:t>
      </w:r>
      <w:r>
        <w:t xml:space="preserve">                                                                               </w:t>
      </w:r>
      <w:r>
        <w:rPr>
          <w:rFonts w:hint="eastAsia"/>
          <w:lang w:val="en-US" w:eastAsia="zh-CN"/>
        </w:rPr>
        <w:t>单位：万元</w:t>
      </w:r>
      <w:r>
        <w:t xml:space="preserve">                    </w:t>
      </w:r>
      <w:r>
        <w:rPr>
          <w:rFonts w:hint="eastAsia"/>
          <w:lang w:val="en-US" w:eastAsia="zh-CN"/>
        </w:rPr>
        <w:t xml:space="preserve">      </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982"/>
        <w:gridCol w:w="1145"/>
        <w:gridCol w:w="887"/>
        <w:gridCol w:w="681"/>
        <w:gridCol w:w="656"/>
        <w:gridCol w:w="850"/>
        <w:gridCol w:w="964"/>
        <w:gridCol w:w="964"/>
        <w:gridCol w:w="964"/>
        <w:gridCol w:w="1111"/>
        <w:gridCol w:w="914"/>
        <w:gridCol w:w="709"/>
        <w:gridCol w:w="955"/>
        <w:gridCol w:w="1023"/>
        <w:gridCol w:w="10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19" w:type="dxa"/>
            <w:gridSpan w:val="2"/>
            <w:vAlign w:val="center"/>
          </w:tcPr>
          <w:p>
            <w:pPr>
              <w:pStyle w:val="13"/>
            </w:pPr>
            <w:r>
              <w:t>政府采购项目来源</w:t>
            </w:r>
          </w:p>
        </w:tc>
        <w:tc>
          <w:tcPr>
            <w:tcW w:w="1145" w:type="dxa"/>
            <w:vMerge w:val="restart"/>
            <w:vAlign w:val="center"/>
          </w:tcPr>
          <w:p>
            <w:pPr>
              <w:pStyle w:val="13"/>
            </w:pPr>
            <w:r>
              <w:t>采购物品名称</w:t>
            </w:r>
          </w:p>
        </w:tc>
        <w:tc>
          <w:tcPr>
            <w:tcW w:w="887" w:type="dxa"/>
            <w:vMerge w:val="restart"/>
            <w:vAlign w:val="center"/>
          </w:tcPr>
          <w:p>
            <w:pPr>
              <w:pStyle w:val="13"/>
            </w:pPr>
            <w:r>
              <w:t>政府采购目录序号</w:t>
            </w:r>
          </w:p>
        </w:tc>
        <w:tc>
          <w:tcPr>
            <w:tcW w:w="681" w:type="dxa"/>
            <w:vMerge w:val="restart"/>
            <w:vAlign w:val="center"/>
          </w:tcPr>
          <w:p>
            <w:pPr>
              <w:pStyle w:val="13"/>
            </w:pPr>
            <w:r>
              <w:t>计量  单位</w:t>
            </w:r>
          </w:p>
        </w:tc>
        <w:tc>
          <w:tcPr>
            <w:tcW w:w="656" w:type="dxa"/>
            <w:vMerge w:val="restart"/>
            <w:vAlign w:val="center"/>
          </w:tcPr>
          <w:p>
            <w:pPr>
              <w:pStyle w:val="13"/>
            </w:pPr>
            <w:r>
              <w:t>数量</w:t>
            </w:r>
          </w:p>
        </w:tc>
        <w:tc>
          <w:tcPr>
            <w:tcW w:w="850" w:type="dxa"/>
            <w:vMerge w:val="restart"/>
            <w:vAlign w:val="center"/>
          </w:tcPr>
          <w:p>
            <w:pPr>
              <w:pStyle w:val="13"/>
            </w:pPr>
            <w:r>
              <w:t>单价</w:t>
            </w:r>
          </w:p>
        </w:tc>
        <w:tc>
          <w:tcPr>
            <w:tcW w:w="7604" w:type="dxa"/>
            <w:gridSpan w:val="8"/>
            <w:vAlign w:val="center"/>
          </w:tcPr>
          <w:p>
            <w:pPr>
              <w:pStyle w:val="13"/>
            </w:pPr>
            <w:r>
              <w:t>政府采购金额（当年部门预算安排资金）</w:t>
            </w:r>
          </w:p>
        </w:tc>
        <w:tc>
          <w:tcPr>
            <w:tcW w:w="1072"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68" w:hRule="atLeast"/>
          <w:tblHeader/>
          <w:jc w:val="center"/>
        </w:trPr>
        <w:tc>
          <w:tcPr>
            <w:tcW w:w="1537" w:type="dxa"/>
            <w:vAlign w:val="center"/>
          </w:tcPr>
          <w:p>
            <w:pPr>
              <w:pStyle w:val="13"/>
            </w:pPr>
            <w:r>
              <w:t>项目名称</w:t>
            </w:r>
          </w:p>
        </w:tc>
        <w:tc>
          <w:tcPr>
            <w:tcW w:w="982" w:type="dxa"/>
            <w:vAlign w:val="center"/>
          </w:tcPr>
          <w:p>
            <w:pPr>
              <w:pStyle w:val="13"/>
            </w:pPr>
            <w:r>
              <w:t>预算    资金</w:t>
            </w:r>
          </w:p>
        </w:tc>
        <w:tc>
          <w:tcPr>
            <w:tcW w:w="1145" w:type="dxa"/>
            <w:vMerge w:val="continue"/>
            <w:vAlign w:val="top"/>
          </w:tcPr>
          <w:p/>
        </w:tc>
        <w:tc>
          <w:tcPr>
            <w:tcW w:w="887" w:type="dxa"/>
            <w:vMerge w:val="continue"/>
            <w:vAlign w:val="top"/>
          </w:tcPr>
          <w:p/>
        </w:tc>
        <w:tc>
          <w:tcPr>
            <w:tcW w:w="681" w:type="dxa"/>
            <w:vMerge w:val="continue"/>
            <w:vAlign w:val="top"/>
          </w:tcPr>
          <w:p/>
        </w:tc>
        <w:tc>
          <w:tcPr>
            <w:tcW w:w="656" w:type="dxa"/>
            <w:vMerge w:val="continue"/>
            <w:vAlign w:val="top"/>
          </w:tcPr>
          <w:p/>
        </w:tc>
        <w:tc>
          <w:tcPr>
            <w:tcW w:w="850" w:type="dxa"/>
            <w:vMerge w:val="continue"/>
            <w:vAlign w:val="top"/>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1111" w:type="dxa"/>
            <w:vAlign w:val="center"/>
          </w:tcPr>
          <w:p>
            <w:pPr>
              <w:pStyle w:val="13"/>
            </w:pPr>
            <w:r>
              <w:t>国有资本经营预算拨款</w:t>
            </w:r>
          </w:p>
        </w:tc>
        <w:tc>
          <w:tcPr>
            <w:tcW w:w="914" w:type="dxa"/>
            <w:vAlign w:val="center"/>
          </w:tcPr>
          <w:p>
            <w:pPr>
              <w:pStyle w:val="13"/>
            </w:pPr>
            <w:r>
              <w:t>财政专户核拨</w:t>
            </w:r>
          </w:p>
        </w:tc>
        <w:tc>
          <w:tcPr>
            <w:tcW w:w="709" w:type="dxa"/>
            <w:vAlign w:val="center"/>
          </w:tcPr>
          <w:p>
            <w:pPr>
              <w:pStyle w:val="13"/>
            </w:pPr>
            <w:r>
              <w:t>单位    资金</w:t>
            </w:r>
          </w:p>
        </w:tc>
        <w:tc>
          <w:tcPr>
            <w:tcW w:w="955" w:type="dxa"/>
            <w:vAlign w:val="center"/>
          </w:tcPr>
          <w:p>
            <w:pPr>
              <w:pStyle w:val="13"/>
            </w:pPr>
            <w:r>
              <w:t>财政拨    款结转</w:t>
            </w:r>
          </w:p>
        </w:tc>
        <w:tc>
          <w:tcPr>
            <w:tcW w:w="1023" w:type="dxa"/>
            <w:vAlign w:val="center"/>
          </w:tcPr>
          <w:p>
            <w:pPr>
              <w:pStyle w:val="13"/>
            </w:pPr>
            <w:r>
              <w:t>非财政    拨款结    转结余</w:t>
            </w:r>
          </w:p>
        </w:tc>
        <w:tc>
          <w:tcPr>
            <w:tcW w:w="1072"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jc w:val="center"/>
        </w:trPr>
        <w:tc>
          <w:tcPr>
            <w:tcW w:w="1537" w:type="dxa"/>
            <w:vAlign w:val="center"/>
          </w:tcPr>
          <w:p>
            <w:pPr>
              <w:pStyle w:val="17"/>
            </w:pPr>
            <w:r>
              <w:t>合  计</w:t>
            </w:r>
          </w:p>
        </w:tc>
        <w:tc>
          <w:tcPr>
            <w:tcW w:w="982" w:type="dxa"/>
            <w:vAlign w:val="center"/>
          </w:tcPr>
          <w:p>
            <w:pPr>
              <w:pStyle w:val="18"/>
              <w:jc w:val="center"/>
              <w:rPr>
                <w:rFonts w:hint="default" w:eastAsia="方正书宋_GBK"/>
                <w:lang w:val="en-US" w:eastAsia="zh-CN"/>
              </w:rPr>
            </w:pPr>
            <w:r>
              <w:rPr>
                <w:rFonts w:hint="eastAsia"/>
                <w:lang w:val="en-US" w:eastAsia="zh-CN"/>
              </w:rPr>
              <w:t>333.75</w:t>
            </w:r>
          </w:p>
        </w:tc>
        <w:tc>
          <w:tcPr>
            <w:tcW w:w="1145" w:type="dxa"/>
            <w:vAlign w:val="center"/>
          </w:tcPr>
          <w:p>
            <w:pPr>
              <w:pStyle w:val="19"/>
              <w:jc w:val="center"/>
            </w:pPr>
          </w:p>
        </w:tc>
        <w:tc>
          <w:tcPr>
            <w:tcW w:w="887" w:type="dxa"/>
            <w:vAlign w:val="center"/>
          </w:tcPr>
          <w:p>
            <w:pPr>
              <w:pStyle w:val="19"/>
              <w:jc w:val="center"/>
            </w:pPr>
          </w:p>
        </w:tc>
        <w:tc>
          <w:tcPr>
            <w:tcW w:w="681" w:type="dxa"/>
            <w:vAlign w:val="center"/>
          </w:tcPr>
          <w:p>
            <w:pPr>
              <w:pStyle w:val="17"/>
              <w:jc w:val="center"/>
            </w:pPr>
          </w:p>
        </w:tc>
        <w:tc>
          <w:tcPr>
            <w:tcW w:w="656" w:type="dxa"/>
            <w:vAlign w:val="center"/>
          </w:tcPr>
          <w:p>
            <w:pPr>
              <w:pStyle w:val="18"/>
              <w:jc w:val="center"/>
            </w:pPr>
          </w:p>
        </w:tc>
        <w:tc>
          <w:tcPr>
            <w:tcW w:w="850" w:type="dxa"/>
            <w:vAlign w:val="center"/>
          </w:tcPr>
          <w:p>
            <w:pPr>
              <w:pStyle w:val="18"/>
              <w:jc w:val="center"/>
              <w:rPr>
                <w:rFonts w:hint="default"/>
                <w:lang w:val="en-US"/>
              </w:rPr>
            </w:pPr>
            <w:r>
              <w:rPr>
                <w:rFonts w:hint="eastAsia"/>
                <w:lang w:val="en-US" w:eastAsia="zh-CN"/>
              </w:rPr>
              <w:t>286</w:t>
            </w:r>
          </w:p>
        </w:tc>
        <w:tc>
          <w:tcPr>
            <w:tcW w:w="964" w:type="dxa"/>
            <w:vAlign w:val="center"/>
          </w:tcPr>
          <w:p>
            <w:pPr>
              <w:pStyle w:val="18"/>
              <w:jc w:val="center"/>
              <w:rPr>
                <w:rFonts w:hint="default"/>
                <w:lang w:val="en-US"/>
              </w:rPr>
            </w:pPr>
            <w:r>
              <w:rPr>
                <w:rFonts w:hint="eastAsia"/>
                <w:lang w:val="en-US" w:eastAsia="zh-CN"/>
              </w:rPr>
              <w:t>286</w:t>
            </w:r>
          </w:p>
        </w:tc>
        <w:tc>
          <w:tcPr>
            <w:tcW w:w="964" w:type="dxa"/>
            <w:vAlign w:val="center"/>
          </w:tcPr>
          <w:p>
            <w:pPr>
              <w:pStyle w:val="18"/>
              <w:jc w:val="center"/>
              <w:rPr>
                <w:rFonts w:hint="default" w:eastAsia="方正书宋_GBK"/>
                <w:lang w:val="en-US" w:eastAsia="zh-CN"/>
              </w:rPr>
            </w:pPr>
            <w:r>
              <w:rPr>
                <w:rFonts w:hint="eastAsia"/>
                <w:lang w:val="en-US" w:eastAsia="zh-CN"/>
              </w:rPr>
              <w:t>206</w:t>
            </w:r>
          </w:p>
        </w:tc>
        <w:tc>
          <w:tcPr>
            <w:tcW w:w="964" w:type="dxa"/>
            <w:vAlign w:val="center"/>
          </w:tcPr>
          <w:p>
            <w:pPr>
              <w:pStyle w:val="18"/>
              <w:jc w:val="center"/>
              <w:rPr>
                <w:rFonts w:hint="default" w:eastAsia="方正书宋_GBK"/>
                <w:lang w:val="en-US" w:eastAsia="zh-CN"/>
              </w:rPr>
            </w:pPr>
            <w:r>
              <w:rPr>
                <w:rFonts w:hint="eastAsia"/>
                <w:lang w:val="en-US" w:eastAsia="zh-CN"/>
              </w:rPr>
              <w:t>80</w:t>
            </w:r>
          </w:p>
        </w:tc>
        <w:tc>
          <w:tcPr>
            <w:tcW w:w="1111" w:type="dxa"/>
            <w:vAlign w:val="center"/>
          </w:tcPr>
          <w:p>
            <w:pPr>
              <w:pStyle w:val="18"/>
              <w:jc w:val="center"/>
            </w:pPr>
          </w:p>
        </w:tc>
        <w:tc>
          <w:tcPr>
            <w:tcW w:w="914" w:type="dxa"/>
            <w:vAlign w:val="center"/>
          </w:tcPr>
          <w:p>
            <w:pPr>
              <w:pStyle w:val="18"/>
              <w:jc w:val="center"/>
            </w:pPr>
          </w:p>
        </w:tc>
        <w:tc>
          <w:tcPr>
            <w:tcW w:w="709" w:type="dxa"/>
            <w:vAlign w:val="center"/>
          </w:tcPr>
          <w:p>
            <w:pPr>
              <w:pStyle w:val="18"/>
              <w:jc w:val="center"/>
            </w:pPr>
          </w:p>
        </w:tc>
        <w:tc>
          <w:tcPr>
            <w:tcW w:w="955" w:type="dxa"/>
            <w:vAlign w:val="center"/>
          </w:tcPr>
          <w:p>
            <w:pPr>
              <w:pStyle w:val="18"/>
              <w:jc w:val="center"/>
            </w:pPr>
          </w:p>
        </w:tc>
        <w:tc>
          <w:tcPr>
            <w:tcW w:w="1023" w:type="dxa"/>
            <w:vAlign w:val="center"/>
          </w:tcPr>
          <w:p>
            <w:pPr>
              <w:pStyle w:val="18"/>
              <w:jc w:val="center"/>
            </w:pPr>
          </w:p>
        </w:tc>
        <w:tc>
          <w:tcPr>
            <w:tcW w:w="1072" w:type="dxa"/>
            <w:vAlign w:val="center"/>
          </w:tcPr>
          <w:p>
            <w:pPr>
              <w:pStyle w:val="18"/>
              <w:jc w:val="center"/>
              <w:rPr>
                <w:rFonts w:hint="default" w:eastAsia="方正书宋_GBK"/>
                <w:lang w:val="en-US" w:eastAsia="zh-CN"/>
              </w:rPr>
            </w:pPr>
            <w:r>
              <w:rPr>
                <w:rFonts w:hint="eastAsia"/>
                <w:lang w:val="en-US" w:eastAsia="zh-CN"/>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园区绿化及设施维护年度保障经费</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69.75</w:t>
            </w:r>
          </w:p>
        </w:tc>
        <w:tc>
          <w:tcPr>
            <w:tcW w:w="1145"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园林绿化管理服务</w:t>
            </w:r>
          </w:p>
        </w:tc>
        <w:tc>
          <w:tcPr>
            <w:tcW w:w="887" w:type="dxa"/>
            <w:vAlign w:val="center"/>
          </w:tcPr>
          <w:p>
            <w:pPr>
              <w:pStyle w:val="15"/>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C13030000</w:t>
            </w:r>
          </w:p>
        </w:tc>
        <w:tc>
          <w:tcPr>
            <w:tcW w:w="681" w:type="dxa"/>
            <w:vAlign w:val="center"/>
          </w:tcPr>
          <w:p>
            <w:pPr>
              <w:pStyle w:val="16"/>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年</w:t>
            </w:r>
          </w:p>
        </w:tc>
        <w:tc>
          <w:tcPr>
            <w:tcW w:w="656" w:type="dxa"/>
            <w:vAlign w:val="center"/>
          </w:tcPr>
          <w:p>
            <w:pPr>
              <w:pStyle w:val="14"/>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c>
          <w:tcPr>
            <w:tcW w:w="964" w:type="dxa"/>
            <w:vAlign w:val="center"/>
          </w:tcPr>
          <w:p>
            <w:pPr>
              <w:pStyle w:val="14"/>
              <w:jc w:val="center"/>
              <w:rPr>
                <w:rFonts w:hint="eastAsia" w:ascii="仿宋_GB2312" w:hAnsi="仿宋_GB2312" w:eastAsia="仿宋_GB2312" w:cs="仿宋_GB2312"/>
                <w:b w:val="0"/>
                <w:bCs w:val="0"/>
                <w:sz w:val="21"/>
                <w:szCs w:val="21"/>
              </w:rPr>
            </w:pP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914" w:type="dxa"/>
            <w:vAlign w:val="center"/>
          </w:tcPr>
          <w:p>
            <w:pPr>
              <w:pStyle w:val="14"/>
              <w:jc w:val="center"/>
              <w:rPr>
                <w:rFonts w:hint="eastAsia" w:ascii="仿宋_GB2312" w:hAnsi="仿宋_GB2312" w:eastAsia="仿宋_GB2312" w:cs="仿宋_GB2312"/>
                <w:b w:val="0"/>
                <w:bCs w:val="0"/>
                <w:sz w:val="21"/>
                <w:szCs w:val="21"/>
              </w:rPr>
            </w:pPr>
          </w:p>
        </w:tc>
        <w:tc>
          <w:tcPr>
            <w:tcW w:w="70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农业园区总体规划规划环评项目</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1145"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其他生态环境治理服务</w:t>
            </w:r>
          </w:p>
        </w:tc>
        <w:tc>
          <w:tcPr>
            <w:tcW w:w="887" w:type="dxa"/>
            <w:vAlign w:val="center"/>
          </w:tcPr>
          <w:p>
            <w:pPr>
              <w:pStyle w:val="15"/>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C07029900</w:t>
            </w:r>
          </w:p>
        </w:tc>
        <w:tc>
          <w:tcPr>
            <w:tcW w:w="681" w:type="dxa"/>
            <w:vAlign w:val="center"/>
          </w:tcPr>
          <w:p>
            <w:pPr>
              <w:pStyle w:val="16"/>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项</w:t>
            </w:r>
          </w:p>
        </w:tc>
        <w:tc>
          <w:tcPr>
            <w:tcW w:w="656"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c>
          <w:tcPr>
            <w:tcW w:w="964" w:type="dxa"/>
            <w:vAlign w:val="center"/>
          </w:tcPr>
          <w:p>
            <w:pPr>
              <w:pStyle w:val="14"/>
              <w:jc w:val="center"/>
              <w:rPr>
                <w:rFonts w:hint="eastAsia" w:ascii="仿宋_GB2312" w:hAnsi="仿宋_GB2312" w:eastAsia="仿宋_GB2312" w:cs="仿宋_GB2312"/>
                <w:b w:val="0"/>
                <w:bCs w:val="0"/>
                <w:sz w:val="21"/>
                <w:szCs w:val="21"/>
              </w:rPr>
            </w:pP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914" w:type="dxa"/>
            <w:vAlign w:val="center"/>
          </w:tcPr>
          <w:p>
            <w:pPr>
              <w:pStyle w:val="14"/>
              <w:jc w:val="center"/>
              <w:rPr>
                <w:rFonts w:hint="eastAsia" w:ascii="仿宋_GB2312" w:hAnsi="仿宋_GB2312" w:eastAsia="仿宋_GB2312" w:cs="仿宋_GB2312"/>
                <w:b w:val="0"/>
                <w:bCs w:val="0"/>
                <w:sz w:val="21"/>
                <w:szCs w:val="21"/>
              </w:rPr>
            </w:pPr>
          </w:p>
        </w:tc>
        <w:tc>
          <w:tcPr>
            <w:tcW w:w="70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37"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园区管委会办公区路面修补和给排水管道维修工程</w:t>
            </w:r>
          </w:p>
        </w:tc>
        <w:tc>
          <w:tcPr>
            <w:tcW w:w="98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1145"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其他建筑物、构筑物修缮</w:t>
            </w:r>
          </w:p>
        </w:tc>
        <w:tc>
          <w:tcPr>
            <w:tcW w:w="887" w:type="dxa"/>
            <w:vAlign w:val="center"/>
          </w:tcPr>
          <w:p>
            <w:pPr>
              <w:pStyle w:val="15"/>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B08990000</w:t>
            </w:r>
          </w:p>
        </w:tc>
        <w:tc>
          <w:tcPr>
            <w:tcW w:w="681" w:type="dxa"/>
            <w:vAlign w:val="center"/>
          </w:tcPr>
          <w:p>
            <w:pPr>
              <w:pStyle w:val="16"/>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项</w:t>
            </w:r>
          </w:p>
        </w:tc>
        <w:tc>
          <w:tcPr>
            <w:tcW w:w="656" w:type="dxa"/>
            <w:vAlign w:val="center"/>
          </w:tcPr>
          <w:p>
            <w:pPr>
              <w:pStyle w:val="14"/>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1</w:t>
            </w:r>
          </w:p>
        </w:tc>
        <w:tc>
          <w:tcPr>
            <w:tcW w:w="850"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c>
          <w:tcPr>
            <w:tcW w:w="964" w:type="dxa"/>
            <w:vAlign w:val="center"/>
          </w:tcPr>
          <w:p>
            <w:pPr>
              <w:pStyle w:val="14"/>
              <w:jc w:val="center"/>
              <w:rPr>
                <w:rFonts w:hint="eastAsia" w:ascii="仿宋_GB2312" w:hAnsi="仿宋_GB2312" w:eastAsia="仿宋_GB2312" w:cs="仿宋_GB2312"/>
                <w:b w:val="0"/>
                <w:bCs w:val="0"/>
                <w:sz w:val="21"/>
                <w:szCs w:val="21"/>
                <w:lang w:val="en-US" w:eastAsia="zh-CN"/>
              </w:rPr>
            </w:pPr>
          </w:p>
        </w:tc>
        <w:tc>
          <w:tcPr>
            <w:tcW w:w="964" w:type="dxa"/>
            <w:vAlign w:val="center"/>
          </w:tcPr>
          <w:p>
            <w:pPr>
              <w:pStyle w:val="14"/>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rPr>
              <w:t>80.00</w:t>
            </w:r>
          </w:p>
        </w:tc>
        <w:tc>
          <w:tcPr>
            <w:tcW w:w="1111" w:type="dxa"/>
            <w:vAlign w:val="center"/>
          </w:tcPr>
          <w:p>
            <w:pPr>
              <w:pStyle w:val="14"/>
              <w:jc w:val="center"/>
              <w:rPr>
                <w:rFonts w:hint="eastAsia" w:ascii="仿宋_GB2312" w:hAnsi="仿宋_GB2312" w:eastAsia="仿宋_GB2312" w:cs="仿宋_GB2312"/>
                <w:b w:val="0"/>
                <w:bCs w:val="0"/>
                <w:sz w:val="21"/>
                <w:szCs w:val="21"/>
              </w:rPr>
            </w:pPr>
          </w:p>
        </w:tc>
        <w:tc>
          <w:tcPr>
            <w:tcW w:w="914" w:type="dxa"/>
            <w:vAlign w:val="center"/>
          </w:tcPr>
          <w:p>
            <w:pPr>
              <w:pStyle w:val="14"/>
              <w:jc w:val="center"/>
              <w:rPr>
                <w:rFonts w:hint="eastAsia" w:ascii="仿宋_GB2312" w:hAnsi="仿宋_GB2312" w:eastAsia="仿宋_GB2312" w:cs="仿宋_GB2312"/>
                <w:b w:val="0"/>
                <w:bCs w:val="0"/>
                <w:sz w:val="21"/>
                <w:szCs w:val="21"/>
              </w:rPr>
            </w:pPr>
          </w:p>
        </w:tc>
        <w:tc>
          <w:tcPr>
            <w:tcW w:w="709" w:type="dxa"/>
            <w:vAlign w:val="center"/>
          </w:tcPr>
          <w:p>
            <w:pPr>
              <w:pStyle w:val="14"/>
              <w:jc w:val="center"/>
              <w:rPr>
                <w:rFonts w:hint="eastAsia" w:ascii="仿宋_GB2312" w:hAnsi="仿宋_GB2312" w:eastAsia="仿宋_GB2312" w:cs="仿宋_GB2312"/>
                <w:b w:val="0"/>
                <w:bCs w:val="0"/>
                <w:sz w:val="21"/>
                <w:szCs w:val="21"/>
              </w:rPr>
            </w:pPr>
          </w:p>
        </w:tc>
        <w:tc>
          <w:tcPr>
            <w:tcW w:w="955" w:type="dxa"/>
            <w:vAlign w:val="center"/>
          </w:tcPr>
          <w:p>
            <w:pPr>
              <w:pStyle w:val="14"/>
              <w:jc w:val="center"/>
              <w:rPr>
                <w:rFonts w:hint="eastAsia" w:ascii="仿宋_GB2312" w:hAnsi="仿宋_GB2312" w:eastAsia="仿宋_GB2312" w:cs="仿宋_GB2312"/>
                <w:b w:val="0"/>
                <w:bCs w:val="0"/>
                <w:sz w:val="21"/>
                <w:szCs w:val="21"/>
              </w:rPr>
            </w:pPr>
          </w:p>
        </w:tc>
        <w:tc>
          <w:tcPr>
            <w:tcW w:w="1023" w:type="dxa"/>
            <w:vAlign w:val="center"/>
          </w:tcPr>
          <w:p>
            <w:pPr>
              <w:pStyle w:val="14"/>
              <w:jc w:val="center"/>
              <w:rPr>
                <w:rFonts w:hint="eastAsia" w:ascii="仿宋_GB2312" w:hAnsi="仿宋_GB2312" w:eastAsia="仿宋_GB2312" w:cs="仿宋_GB2312"/>
                <w:b w:val="0"/>
                <w:bCs w:val="0"/>
                <w:sz w:val="21"/>
                <w:szCs w:val="21"/>
              </w:rPr>
            </w:pPr>
          </w:p>
        </w:tc>
        <w:tc>
          <w:tcPr>
            <w:tcW w:w="1072" w:type="dxa"/>
            <w:vAlign w:val="center"/>
          </w:tcPr>
          <w:p>
            <w:pPr>
              <w:pStyle w:val="14"/>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rPr>
              <w:t>80.00</w:t>
            </w:r>
          </w:p>
        </w:tc>
      </w:tr>
    </w:tbl>
    <w:p>
      <w:pPr>
        <w:spacing w:line="500" w:lineRule="exact"/>
        <w:ind w:firstLine="420"/>
        <w:rPr>
          <w:rFonts w:ascii="Times New Roman" w:hAnsi="Times New Roman" w:eastAsia="黑体" w:cs="Times New Roman"/>
          <w:sz w:val="32"/>
          <w:szCs w:val="32"/>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p>
    <w:p>
      <w:pPr>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pPr>
      <w:r>
        <w:rPr>
          <w:rFonts w:hint="eastAsia" w:ascii="Times New Roman" w:hAnsi="Times New Roman" w:eastAsia="仿宋_GB2312" w:cs="Times New Roman"/>
          <w:sz w:val="32"/>
          <w:szCs w:val="32"/>
          <w:lang w:eastAsia="zh-CN"/>
        </w:rPr>
        <w:t>河北三河国家农业科技园区管理委员会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4707.36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拟购置固定资产主要为办公桌椅等，因未达到政府采购限额，不需要进行政府采购</w:t>
      </w:r>
      <w:r>
        <w:rPr>
          <w:rFonts w:ascii="Times New Roman" w:hAnsi="Times New Roman" w:eastAsia="仿宋_GB2312" w:cs="Times New Roman"/>
          <w:sz w:val="32"/>
          <w:szCs w:val="32"/>
        </w:rPr>
        <w:t>。</w:t>
      </w: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河北三河国家农业科技园区管理委员会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2810.97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4000.47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auto"/>
    <w:pitch w:val="default"/>
    <w:sig w:usb0="00000000" w:usb1="00000000" w:usb2="00000000" w:usb3="00000000" w:csb0="00040001" w:csb1="00000000"/>
  </w:font>
  <w:font w:name="方正仿宋_GBK">
    <w:altName w:val="Arial Unicode MS"/>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4NmY4MDM0YTM0YzkzZGQ4ZmQ2YWMzNjU0ZjVmNGYifQ=="/>
  </w:docVars>
  <w:rsids>
    <w:rsidRoot w:val="00000000"/>
    <w:rsid w:val="07822020"/>
    <w:rsid w:val="08A90788"/>
    <w:rsid w:val="0D57649A"/>
    <w:rsid w:val="10F51C23"/>
    <w:rsid w:val="145125C1"/>
    <w:rsid w:val="1D2159F8"/>
    <w:rsid w:val="1FFB6042"/>
    <w:rsid w:val="24D24B0E"/>
    <w:rsid w:val="305948B7"/>
    <w:rsid w:val="32882C24"/>
    <w:rsid w:val="34812F77"/>
    <w:rsid w:val="3A6E6A7C"/>
    <w:rsid w:val="41590662"/>
    <w:rsid w:val="47591495"/>
    <w:rsid w:val="4A9E3649"/>
    <w:rsid w:val="50EE2402"/>
    <w:rsid w:val="5E9204A8"/>
    <w:rsid w:val="5EAE58CA"/>
    <w:rsid w:val="602A71D2"/>
    <w:rsid w:val="60D03CE6"/>
    <w:rsid w:val="667E5C34"/>
    <w:rsid w:val="683117E3"/>
    <w:rsid w:val="68DC202F"/>
    <w:rsid w:val="6B3D74A0"/>
    <w:rsid w:val="6ECA7F34"/>
    <w:rsid w:val="6ED70525"/>
    <w:rsid w:val="6F9F7B9A"/>
    <w:rsid w:val="6FFB7922"/>
    <w:rsid w:val="70C42D2B"/>
    <w:rsid w:val="742A2F8F"/>
    <w:rsid w:val="74511518"/>
    <w:rsid w:val="746B4843"/>
    <w:rsid w:val="7BA9149B"/>
    <w:rsid w:val="7BFB622C"/>
    <w:rsid w:val="7D8775BA"/>
    <w:rsid w:val="7E977E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rFonts w:ascii="Times New Roman" w:hAnsi="Times New Roman"/>
      <w:b/>
      <w:kern w:val="44"/>
      <w:sz w:val="44"/>
      <w:szCs w:val="24"/>
    </w:rPr>
  </w:style>
  <w:style w:type="character" w:default="1" w:styleId="9">
    <w:name w:val="Default Paragraph Font"/>
    <w:autoRedefine/>
    <w:qFormat/>
    <w:uiPriority w:val="0"/>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批注框文本 Char Char"/>
    <w:basedOn w:val="1"/>
    <w:autoRedefine/>
    <w:qFormat/>
    <w:uiPriority w:val="0"/>
    <w:rPr>
      <w:sz w:val="18"/>
      <w:szCs w:val="18"/>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autoRedefine/>
    <w:qFormat/>
    <w:uiPriority w:val="0"/>
    <w:pPr>
      <w:widowControl/>
      <w:jc w:val="center"/>
    </w:pPr>
    <w:rPr>
      <w:rFonts w:ascii="方正书宋_GBK" w:hAnsi="方正书宋_GBK" w:eastAsia="方正书宋_GBK" w:cs="方正书宋_GBK"/>
      <w:b/>
      <w:kern w:val="0"/>
      <w:szCs w:val="24"/>
    </w:rPr>
  </w:style>
  <w:style w:type="paragraph" w:customStyle="1" w:styleId="14">
    <w:name w:val="单元格样式4"/>
    <w:basedOn w:val="1"/>
    <w:autoRedefine/>
    <w:qFormat/>
    <w:uiPriority w:val="0"/>
    <w:pPr>
      <w:widowControl/>
      <w:jc w:val="right"/>
    </w:pPr>
    <w:rPr>
      <w:rFonts w:ascii="方正书宋_GBK" w:hAnsi="方正书宋_GBK" w:eastAsia="方正书宋_GBK" w:cs="方正书宋_GBK"/>
      <w:kern w:val="0"/>
      <w:szCs w:val="24"/>
    </w:rPr>
  </w:style>
  <w:style w:type="paragraph" w:customStyle="1" w:styleId="15">
    <w:name w:val="单元格样式2"/>
    <w:basedOn w:val="1"/>
    <w:autoRedefine/>
    <w:qFormat/>
    <w:uiPriority w:val="0"/>
    <w:pPr>
      <w:widowControl/>
      <w:jc w:val="left"/>
    </w:pPr>
    <w:rPr>
      <w:rFonts w:ascii="方正书宋_GBK" w:hAnsi="方正书宋_GBK" w:eastAsia="方正书宋_GBK" w:cs="方正书宋_GBK"/>
      <w:kern w:val="0"/>
      <w:szCs w:val="24"/>
    </w:rPr>
  </w:style>
  <w:style w:type="paragraph" w:customStyle="1" w:styleId="16">
    <w:name w:val="单元格样式3"/>
    <w:basedOn w:val="1"/>
    <w:autoRedefine/>
    <w:qFormat/>
    <w:uiPriority w:val="0"/>
    <w:pPr>
      <w:widowControl/>
      <w:jc w:val="center"/>
    </w:pPr>
    <w:rPr>
      <w:rFonts w:ascii="方正书宋_GBK" w:hAnsi="方正书宋_GBK" w:eastAsia="方正书宋_GBK" w:cs="方正书宋_GBK"/>
      <w:kern w:val="0"/>
      <w:szCs w:val="24"/>
    </w:rPr>
  </w:style>
  <w:style w:type="paragraph" w:customStyle="1" w:styleId="17">
    <w:name w:val="单元格样式6"/>
    <w:basedOn w:val="1"/>
    <w:autoRedefine/>
    <w:qFormat/>
    <w:uiPriority w:val="0"/>
    <w:pPr>
      <w:widowControl/>
      <w:jc w:val="center"/>
    </w:pPr>
    <w:rPr>
      <w:rFonts w:ascii="方正书宋_GBK" w:hAnsi="方正书宋_GBK" w:eastAsia="方正书宋_GBK" w:cs="方正书宋_GBK"/>
      <w:b/>
      <w:kern w:val="0"/>
      <w:szCs w:val="24"/>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szCs w:val="24"/>
    </w:rPr>
  </w:style>
  <w:style w:type="paragraph" w:customStyle="1" w:styleId="19">
    <w:name w:val="单元格样式5"/>
    <w:basedOn w:val="1"/>
    <w:autoRedefine/>
    <w:qFormat/>
    <w:uiPriority w:val="0"/>
    <w:pPr>
      <w:widowControl/>
      <w:jc w:val="left"/>
    </w:pPr>
    <w:rPr>
      <w:rFonts w:ascii="方正书宋_GBK" w:hAnsi="方正书宋_GBK" w:eastAsia="方正书宋_GBK" w:cs="方正书宋_GBK"/>
      <w:b/>
      <w:kern w:val="0"/>
      <w:szCs w:val="24"/>
    </w:rPr>
  </w:style>
  <w:style w:type="character" w:customStyle="1" w:styleId="20">
    <w:name w:val="NormalCharacter"/>
    <w:autoRedefine/>
    <w:qFormat/>
    <w:uiPriority w:val="0"/>
  </w:style>
  <w:style w:type="paragraph" w:customStyle="1" w:styleId="21">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11989</Words>
  <Characters>13040</Characters>
  <Lines>23</Lines>
  <Paragraphs>6</Paragraphs>
  <TotalTime>1</TotalTime>
  <ScaleCrop>false</ScaleCrop>
  <LinksUpToDate>false</LinksUpToDate>
  <CharactersWithSpaces>13204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2020-01-13T19:27:00Z</dcterms:created>
  <dc:creator>guest</dc:creator>
  <cp:lastModifiedBy>张继红</cp:lastModifiedBy>
  <cp:lastPrinted>2018-01-30T22:12:00Z</cp:lastPrinted>
  <dcterms:modified xsi:type="dcterms:W3CDTF">2024-02-20T07:05:23Z</dcterms:modified>
  <dc:title>len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4E44EDF0EF9F46F78136DEDCDFA20100</vt:lpwstr>
  </property>
</Properties>
</file>